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37AD8683" w:rsidR="00896C67" w:rsidRPr="00F6397D" w:rsidRDefault="0016320E"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11B4DC8A" w:rsidR="00896C67" w:rsidRPr="00F6397D" w:rsidRDefault="0016320E"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7AE6790D" w:rsidR="00896C67" w:rsidRPr="00F6397D" w:rsidRDefault="0016320E"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113C6A3B" w:rsidR="00896C67" w:rsidRPr="00F6397D" w:rsidRDefault="0016320E"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6054F41A" w:rsidR="00896C67" w:rsidRPr="00F6397D" w:rsidRDefault="0016320E"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16320E"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589A3CED" w:rsidR="00896C67" w:rsidRPr="00F6397D" w:rsidRDefault="0016320E"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5C8E3283" w:rsidR="00896C67" w:rsidRPr="00F6397D" w:rsidRDefault="0016320E"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41A645FD" w:rsidR="00896C67" w:rsidRPr="00F6397D" w:rsidRDefault="0016320E"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4CAD9F8F" w:rsidR="00896C67" w:rsidRPr="00F6397D" w:rsidRDefault="0016320E"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16320E"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13505CDD" w:rsidR="008B1D23" w:rsidRPr="00F6397D" w:rsidRDefault="0016320E" w:rsidP="00B320F5">
                <w:pPr>
                  <w:keepLines/>
                  <w:spacing w:after="60"/>
                </w:pPr>
                <w:sdt>
                  <w:sdtPr>
                    <w:rPr>
                      <w:sz w:val="24"/>
                    </w:rPr>
                    <w:id w:val="380452936"/>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6D208DBF" w:rsidR="008B1D23" w:rsidRPr="00BC5C53" w:rsidRDefault="0016320E" w:rsidP="008B1D23">
                <w:pPr>
                  <w:keepLines/>
                  <w:spacing w:after="60"/>
                  <w:rPr>
                    <w:rFonts w:eastAsia="Times New Roman" w:cs="Times New Roman"/>
                    <w:sz w:val="22"/>
                  </w:rPr>
                </w:pPr>
                <w:sdt>
                  <w:sdtPr>
                    <w:rPr>
                      <w:sz w:val="24"/>
                    </w:rPr>
                    <w:id w:val="-84235867"/>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1FECAFFA" w:rsidR="008E5AB7" w:rsidRPr="0028098F" w:rsidRDefault="0016320E" w:rsidP="00896C67">
                <w:pPr>
                  <w:keepLines/>
                  <w:spacing w:after="60"/>
                </w:pPr>
                <w:sdt>
                  <w:sdtPr>
                    <w:rPr>
                      <w:rFonts w:ascii="Segoe UI Semibold" w:hAnsi="Segoe UI Semibold"/>
                      <w:b/>
                      <w:bCs/>
                      <w:sz w:val="24"/>
                    </w:rPr>
                    <w:id w:val="1378349974"/>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b/>
                        <w:bCs/>
                        <w:sz w:val="24"/>
                      </w:rPr>
                      <w:t>☒</w:t>
                    </w:r>
                  </w:sdtContent>
                </w:sdt>
                <w:r w:rsidR="008E5AB7" w:rsidRPr="0028098F">
                  <w:t xml:space="preserve"> Commercial HMO</w:t>
                </w:r>
              </w:p>
              <w:p w14:paraId="5BA29144" w14:textId="503F1FA1" w:rsidR="008E5AB7" w:rsidRPr="0028098F" w:rsidRDefault="0016320E" w:rsidP="00896C67">
                <w:pPr>
                  <w:keepLines/>
                  <w:spacing w:after="60"/>
                </w:pPr>
                <w:sdt>
                  <w:sdtPr>
                    <w:rPr>
                      <w:sz w:val="24"/>
                    </w:rPr>
                    <w:id w:val="478194351"/>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28098F">
                  <w:t xml:space="preserve"> Commercial PPO</w:t>
                </w:r>
              </w:p>
              <w:p w14:paraId="06ABB573" w14:textId="34218E24" w:rsidR="008E5AB7" w:rsidRPr="0028098F" w:rsidRDefault="0016320E" w:rsidP="00896C67">
                <w:pPr>
                  <w:keepLines/>
                  <w:spacing w:after="60"/>
                </w:pPr>
                <w:sdt>
                  <w:sdtPr>
                    <w:rPr>
                      <w:sz w:val="24"/>
                    </w:rPr>
                    <w:id w:val="1541093259"/>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4B7DF531" w:rsidR="008E5AB7" w:rsidRPr="00F6397D" w:rsidRDefault="0016320E" w:rsidP="00896C67">
                <w:pPr>
                  <w:keepLines/>
                  <w:spacing w:after="60"/>
                </w:pPr>
                <w:sdt>
                  <w:sdtPr>
                    <w:rPr>
                      <w:sz w:val="24"/>
                    </w:rPr>
                    <w:id w:val="-134718888"/>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7E203F6A" w:rsidR="008E5AB7" w:rsidRDefault="0016320E" w:rsidP="00896C67">
                <w:pPr>
                  <w:keepLines/>
                  <w:spacing w:after="60"/>
                </w:pPr>
                <w:sdt>
                  <w:sdtPr>
                    <w:rPr>
                      <w:sz w:val="24"/>
                    </w:rPr>
                    <w:id w:val="937334416"/>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11AB2F76" w:rsidR="008E5AB7" w:rsidRDefault="0016320E" w:rsidP="00896C67">
                <w:pPr>
                  <w:keepLines/>
                  <w:spacing w:after="60"/>
                </w:pPr>
                <w:sdt>
                  <w:sdtPr>
                    <w:rPr>
                      <w:sz w:val="24"/>
                    </w:rPr>
                    <w:id w:val="1631667148"/>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t xml:space="preserve"> Individual </w:t>
                </w:r>
                <w:r w:rsidR="00324844">
                  <w:t>Pre-2010</w:t>
                </w:r>
              </w:p>
              <w:p w14:paraId="6EFCC709" w14:textId="4A689B87" w:rsidR="008E5AB7" w:rsidRDefault="0016320E" w:rsidP="00896C67">
                <w:pPr>
                  <w:keepLines/>
                  <w:spacing w:after="60"/>
                </w:pPr>
                <w:sdt>
                  <w:sdtPr>
                    <w:rPr>
                      <w:sz w:val="24"/>
                    </w:rPr>
                    <w:id w:val="1014654002"/>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2B346158" w:rsidR="000E3155" w:rsidRPr="00F6397D" w:rsidRDefault="0016320E" w:rsidP="00896C67">
                <w:pPr>
                  <w:keepLines/>
                  <w:spacing w:after="60"/>
                </w:pPr>
                <w:sdt>
                  <w:sdtPr>
                    <w:rPr>
                      <w:sz w:val="24"/>
                    </w:rPr>
                    <w:id w:val="-455568649"/>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44B1E788" w:rsidR="008E5AB7" w:rsidRDefault="0016320E" w:rsidP="001F4E48">
                <w:pPr>
                  <w:keepLines/>
                  <w:spacing w:after="60"/>
                </w:pPr>
                <w:sdt>
                  <w:sdtPr>
                    <w:rPr>
                      <w:sz w:val="24"/>
                    </w:rPr>
                    <w:id w:val="472192593"/>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03DC5F4E" w:rsidR="008E5AB7" w:rsidRPr="00577E75" w:rsidRDefault="0016320E" w:rsidP="00896C67">
                <w:pPr>
                  <w:keepLines/>
                  <w:spacing w:after="60"/>
                </w:pPr>
                <w:sdt>
                  <w:sdtPr>
                    <w:rPr>
                      <w:sz w:val="24"/>
                    </w:rPr>
                    <w:id w:val="402102956"/>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2E3C7BB7" w:rsidR="008E5AB7" w:rsidRPr="00577E75" w:rsidRDefault="0016320E" w:rsidP="00896C67">
                <w:pPr>
                  <w:keepLines/>
                  <w:spacing w:after="60"/>
                </w:pPr>
                <w:sdt>
                  <w:sdtPr>
                    <w:rPr>
                      <w:sz w:val="24"/>
                    </w:rPr>
                    <w:id w:val="1859694707"/>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2CF9D5FF" w:rsidR="008E5AB7" w:rsidRDefault="0016320E" w:rsidP="00896C67">
                <w:pPr>
                  <w:keepLines/>
                  <w:spacing w:after="60"/>
                </w:pPr>
                <w:sdt>
                  <w:sdtPr>
                    <w:rPr>
                      <w:sz w:val="24"/>
                    </w:rPr>
                    <w:id w:val="-1973591583"/>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3C41C057" w:rsidR="009A6FA1" w:rsidRDefault="0016320E" w:rsidP="009A6FA1">
                <w:pPr>
                  <w:keepLines/>
                  <w:spacing w:after="60"/>
                </w:pPr>
                <w:sdt>
                  <w:sdtPr>
                    <w:rPr>
                      <w:sz w:val="24"/>
                    </w:rPr>
                    <w:id w:val="-2124837106"/>
                    <w15:appearance w15:val="hidden"/>
                    <w14:checkbox>
                      <w14:checked w14:val="1"/>
                      <w14:checkedState w14:val="2612" w14:font="MS Gothic"/>
                      <w14:uncheckedState w14:val="2610" w14:font="MS Gothic"/>
                    </w14:checkbox>
                  </w:sdtPr>
                  <w:sdtEndPr/>
                  <w:sdtContent>
                    <w:r w:rsidR="0094336F">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14579F3E"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94336F">
                <w:rPr>
                  <w:rFonts w:eastAsia="Times New Roman" w:cs="Arial"/>
                  <w:b/>
                  <w:u w:val="single"/>
                </w:rPr>
                <w:t>the Compliance Officer(s)</w:t>
              </w:r>
            </w:sdtContent>
          </w:sdt>
          <w:r w:rsidRPr="00472DCC">
            <w:rPr>
              <w:rFonts w:eastAsia="Times New Roman" w:cs="Arial"/>
            </w:rPr>
            <w:t>.</w:t>
          </w:r>
        </w:p>
        <w:p w14:paraId="03323048" w14:textId="667DECF6"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94336F">
                <w:rPr>
                  <w:rFonts w:eastAsia="Times New Roman" w:cs="Arial"/>
                  <w:b/>
                  <w:u w:val="single"/>
                </w:rPr>
                <w:t>the Compliance Officer(s)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94336F" w14:paraId="44DB5DF9" w14:textId="77777777" w:rsidTr="00722AC5">
            <w:tc>
              <w:tcPr>
                <w:tcW w:w="1800" w:type="dxa"/>
                <w:tcBorders>
                  <w:top w:val="nil"/>
                  <w:bottom w:val="nil"/>
                </w:tcBorders>
              </w:tcPr>
              <w:p w14:paraId="324CB74F" w14:textId="77777777" w:rsidR="0094336F" w:rsidRPr="00A155B6" w:rsidRDefault="0094336F">
                <w:pPr>
                  <w:rPr>
                    <w:rStyle w:val="Strong"/>
                    <w:b w:val="0"/>
                  </w:rPr>
                </w:pPr>
                <w:r w:rsidRPr="00A155B6">
                  <w:rPr>
                    <w:rStyle w:val="Strong"/>
                    <w:b w:val="0"/>
                  </w:rPr>
                  <w:t>Document Owner:</w:t>
                </w:r>
              </w:p>
            </w:tc>
            <w:sdt>
              <w:sdtPr>
                <w:id w:val="-1772466457"/>
                <w:placeholder>
                  <w:docPart w:val="42EDC556E15C4705850CD2EBA885B976"/>
                </w:placeholder>
                <w15:appearance w15:val="hidden"/>
              </w:sdtPr>
              <w:sdtEndPr/>
              <w:sdtContent>
                <w:sdt>
                  <w:sdtPr>
                    <w:id w:val="1733968254"/>
                    <w:placeholder>
                      <w:docPart w:val="C6AC0362F7E642ABA61C4B3F19FB01E9"/>
                    </w:placeholder>
                    <w15:appearance w15:val="hidden"/>
                  </w:sdtPr>
                  <w:sdtEndPr/>
                  <w:sdtContent>
                    <w:tc>
                      <w:tcPr>
                        <w:tcW w:w="8990" w:type="dxa"/>
                      </w:tcPr>
                      <w:p w14:paraId="4421197B" w14:textId="2F6935DE" w:rsidR="0094336F" w:rsidRDefault="0094336F">
                        <w:r w:rsidRPr="007555DA">
                          <w:t>AVP, Compliance and Government Regulatory Operations, Senior Director, Deputy General Counsel</w:t>
                        </w:r>
                      </w:p>
                    </w:tc>
                  </w:sdtContent>
                </w:sdt>
              </w:sdtContent>
            </w:sdt>
          </w:tr>
          <w:tr w:rsidR="0094336F" w14:paraId="00C2A070" w14:textId="77777777" w:rsidTr="00722AC5">
            <w:trPr>
              <w:trHeight w:val="242"/>
            </w:trPr>
            <w:tc>
              <w:tcPr>
                <w:tcW w:w="1800" w:type="dxa"/>
                <w:tcBorders>
                  <w:top w:val="nil"/>
                  <w:bottom w:val="nil"/>
                </w:tcBorders>
              </w:tcPr>
              <w:p w14:paraId="2EB0EE94" w14:textId="77777777" w:rsidR="0094336F" w:rsidRPr="00A155B6" w:rsidRDefault="0094336F">
                <w:pPr>
                  <w:rPr>
                    <w:rStyle w:val="Strong"/>
                    <w:b w:val="0"/>
                  </w:rPr>
                </w:pPr>
                <w:r w:rsidRPr="00A155B6">
                  <w:rPr>
                    <w:rStyle w:val="Strong"/>
                    <w:b w:val="0"/>
                  </w:rPr>
                  <w:t>Next Review:</w:t>
                </w:r>
              </w:p>
            </w:tc>
            <w:sdt>
              <w:sdtPr>
                <w:id w:val="-388103198"/>
                <w:placeholder>
                  <w:docPart w:val="E5EC52223100454EA2A72060D57DCA2B"/>
                </w:placeholder>
                <w15:appearance w15:val="hidden"/>
              </w:sdtPr>
              <w:sdtEndPr/>
              <w:sdtContent>
                <w:tc>
                  <w:tcPr>
                    <w:tcW w:w="8990" w:type="dxa"/>
                  </w:tcPr>
                  <w:p w14:paraId="54BD646E" w14:textId="15A89A44" w:rsidR="0094336F" w:rsidRDefault="00F6450C">
                    <w:r>
                      <w:t>June</w:t>
                    </w:r>
                    <w:r w:rsidR="0094336F">
                      <w:t xml:space="preserve"> </w:t>
                    </w:r>
                    <w:r w:rsidR="0094336F" w:rsidRPr="00A83444">
                      <w:t>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A83444">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182502EA" w:rsidR="00F77F84" w:rsidRPr="00374918" w:rsidRDefault="0094336F">
                    <w:pPr>
                      <w:rPr>
                        <w:color w:val="808080"/>
                      </w:rPr>
                    </w:pPr>
                    <w:r>
                      <w:t>Jessica Stanton, Compliance Analyst</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5-01T00:00:00Z">
                      <w:dateFormat w:val="M/d/yyyy"/>
                      <w:lid w:val="en-US"/>
                      <w:storeMappedDataAs w:val="dateTime"/>
                      <w:calendar w:val="gregorian"/>
                    </w:date>
                  </w:sdtPr>
                  <w:sdtEndPr/>
                  <w:sdtContent>
                    <w:tc>
                      <w:tcPr>
                        <w:tcW w:w="1345" w:type="dxa"/>
                      </w:tcPr>
                      <w:p w14:paraId="62C34E4E" w14:textId="0DEC46A5" w:rsidR="00F77F84" w:rsidRDefault="0094336F">
                        <w:r>
                          <w:t>5/1/2017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A83444">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7D5844E3" w:rsidR="00F77F84" w:rsidRDefault="0094336F">
                            <w:r>
                              <w:t>Jessica Stanton, Sr. Compliance Analyst</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06-22T00:00:00Z">
                              <w:dateFormat w:val="M/d/yyyy"/>
                              <w:lid w:val="en-US"/>
                              <w:storeMappedDataAs w:val="dateTime"/>
                              <w:calendar w:val="gregorian"/>
                            </w:date>
                          </w:sdtPr>
                          <w:sdtEndPr/>
                          <w:sdtContent>
                            <w:tc>
                              <w:tcPr>
                                <w:tcW w:w="1345" w:type="dxa"/>
                              </w:tcPr>
                              <w:p w14:paraId="3E48CF5B" w14:textId="0032D4E9" w:rsidR="00F77F84" w:rsidRPr="00A83444" w:rsidRDefault="00F6450C">
                                <w:r w:rsidRPr="00A83444">
                                  <w:t>6</w:t>
                                </w:r>
                                <w:r w:rsidR="006802BE" w:rsidRPr="00A83444">
                                  <w:t>/</w:t>
                                </w:r>
                                <w:r w:rsidRPr="00A83444">
                                  <w:t>22</w:t>
                                </w:r>
                                <w:r w:rsidR="006802BE" w:rsidRPr="00A83444">
                                  <w:t>/2023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A83444">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6D3C3AD9" w:rsidR="00F77F84" w:rsidRDefault="0094336F">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3-07-26T00:00:00Z">
                              <w:dateFormat w:val="M/d/yyyy"/>
                              <w:lid w:val="en-US"/>
                              <w:storeMappedDataAs w:val="dateTime"/>
                              <w:calendar w:val="gregorian"/>
                            </w:date>
                          </w:sdtPr>
                          <w:sdtEndPr/>
                          <w:sdtContent>
                            <w:tc>
                              <w:tcPr>
                                <w:tcW w:w="1345" w:type="dxa"/>
                              </w:tcPr>
                              <w:p w14:paraId="10F347B4" w14:textId="26FB41B6" w:rsidR="00F77F84" w:rsidRDefault="00A83444">
                                <w:r>
                                  <w:t>7/26/2023</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16320E"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0C7FF4">
      <w:pPr>
        <w:pStyle w:val="Heading1"/>
      </w:pPr>
      <w:r>
        <w:lastRenderedPageBreak/>
        <w:t>Purpose</w:t>
      </w:r>
    </w:p>
    <w:p w14:paraId="5D64C278" w14:textId="4D0A81A9" w:rsidR="0094336F" w:rsidRPr="00A83444" w:rsidRDefault="0094336F" w:rsidP="0094336F">
      <w:pPr>
        <w:pStyle w:val="Default"/>
        <w:rPr>
          <w:rFonts w:ascii="Segoe UI" w:hAnsi="Segoe UI" w:cs="Segoe UI"/>
          <w:color w:val="auto"/>
          <w:sz w:val="20"/>
          <w:szCs w:val="22"/>
        </w:rPr>
      </w:pPr>
      <w:r w:rsidRPr="00A83444">
        <w:rPr>
          <w:rFonts w:ascii="Segoe UI" w:hAnsi="Segoe UI" w:cs="Segoe UI"/>
          <w:color w:val="auto"/>
          <w:sz w:val="20"/>
          <w:szCs w:val="22"/>
        </w:rPr>
        <w:t xml:space="preserve">The purpose of this policy is to: </w:t>
      </w:r>
    </w:p>
    <w:p w14:paraId="7D8567B5" w14:textId="77777777" w:rsidR="0094336F" w:rsidRPr="00A83444" w:rsidRDefault="0094336F" w:rsidP="0094336F">
      <w:pPr>
        <w:pStyle w:val="Default"/>
        <w:numPr>
          <w:ilvl w:val="0"/>
          <w:numId w:val="5"/>
        </w:numPr>
        <w:spacing w:after="18"/>
        <w:rPr>
          <w:rFonts w:ascii="Segoe UI" w:hAnsi="Segoe UI" w:cs="Segoe UI"/>
          <w:color w:val="auto"/>
          <w:sz w:val="20"/>
          <w:szCs w:val="22"/>
        </w:rPr>
      </w:pPr>
      <w:r w:rsidRPr="00A83444">
        <w:rPr>
          <w:rFonts w:ascii="Segoe UI" w:hAnsi="Segoe UI" w:cs="Segoe UI"/>
          <w:color w:val="auto"/>
          <w:sz w:val="20"/>
          <w:szCs w:val="22"/>
        </w:rPr>
        <w:t xml:space="preserve">Establish a process for investigating and analyzing all reports of potential or actual compliance issues. </w:t>
      </w:r>
    </w:p>
    <w:p w14:paraId="01E87D19" w14:textId="1FB6BA9B" w:rsidR="0094336F" w:rsidRPr="00A83444" w:rsidRDefault="0094336F" w:rsidP="0094336F">
      <w:pPr>
        <w:pStyle w:val="Default"/>
        <w:numPr>
          <w:ilvl w:val="0"/>
          <w:numId w:val="5"/>
        </w:numPr>
        <w:spacing w:after="18"/>
        <w:rPr>
          <w:rFonts w:ascii="Segoe UI" w:hAnsi="Segoe UI" w:cs="Segoe UI"/>
          <w:color w:val="auto"/>
          <w:sz w:val="20"/>
          <w:szCs w:val="22"/>
        </w:rPr>
      </w:pPr>
      <w:r w:rsidRPr="00A83444">
        <w:rPr>
          <w:rFonts w:ascii="Segoe UI" w:hAnsi="Segoe UI" w:cs="Segoe UI"/>
          <w:color w:val="auto"/>
          <w:sz w:val="20"/>
          <w:szCs w:val="22"/>
        </w:rPr>
        <w:t xml:space="preserve">Report all Part C and Part D noncompliance issues or potential fraudulent or abusive activity to the Investigation Medicare Drug Integrity Contractor (I-MEDIC), and/or CMS Regional Office in a timely manner. </w:t>
      </w:r>
    </w:p>
    <w:p w14:paraId="4F13E2C0" w14:textId="77777777" w:rsidR="0094336F" w:rsidRPr="00A83444" w:rsidRDefault="0094336F" w:rsidP="0094336F">
      <w:pPr>
        <w:pStyle w:val="Default"/>
        <w:numPr>
          <w:ilvl w:val="0"/>
          <w:numId w:val="5"/>
        </w:numPr>
        <w:spacing w:after="18"/>
        <w:rPr>
          <w:rFonts w:ascii="Segoe UI" w:hAnsi="Segoe UI" w:cs="Segoe UI"/>
          <w:color w:val="auto"/>
          <w:sz w:val="20"/>
          <w:szCs w:val="22"/>
        </w:rPr>
      </w:pPr>
      <w:r w:rsidRPr="00A83444">
        <w:rPr>
          <w:rFonts w:ascii="Segoe UI" w:hAnsi="Segoe UI" w:cs="Segoe UI"/>
          <w:color w:val="auto"/>
          <w:sz w:val="20"/>
          <w:szCs w:val="22"/>
        </w:rPr>
        <w:t xml:space="preserve">Ensure that the Compliance Committee is informed of compliance issues. </w:t>
      </w:r>
    </w:p>
    <w:p w14:paraId="1DA9B04A" w14:textId="0902D74E" w:rsidR="000C7FF4" w:rsidRPr="00A83444" w:rsidRDefault="000C7FF4" w:rsidP="000C7FF4"/>
    <w:p w14:paraId="08108A77" w14:textId="1BA82BEC" w:rsidR="00D9492C" w:rsidRPr="00A83444" w:rsidRDefault="00D9492C" w:rsidP="00D9492C">
      <w:pPr>
        <w:pStyle w:val="Heading1"/>
      </w:pPr>
      <w:r w:rsidRPr="00A83444">
        <w:t>Policy</w:t>
      </w:r>
    </w:p>
    <w:p w14:paraId="458745A1" w14:textId="0A1AAF90" w:rsidR="0094336F" w:rsidRPr="00A83444" w:rsidRDefault="0094336F" w:rsidP="0030712B">
      <w:pPr>
        <w:pStyle w:val="Default"/>
        <w:rPr>
          <w:rFonts w:ascii="Segoe UI" w:hAnsi="Segoe UI" w:cs="Segoe UI"/>
          <w:color w:val="auto"/>
          <w:sz w:val="20"/>
          <w:szCs w:val="22"/>
        </w:rPr>
      </w:pPr>
      <w:r w:rsidRPr="00A83444">
        <w:rPr>
          <w:rFonts w:ascii="Segoe UI" w:hAnsi="Segoe UI" w:cs="Segoe UI"/>
          <w:color w:val="auto"/>
          <w:sz w:val="20"/>
          <w:szCs w:val="22"/>
        </w:rPr>
        <w:t xml:space="preserve">The </w:t>
      </w:r>
      <w:r w:rsidR="0030712B" w:rsidRPr="00A83444">
        <w:rPr>
          <w:rFonts w:ascii="Segoe UI" w:hAnsi="Segoe UI" w:cs="Segoe UI"/>
          <w:color w:val="auto"/>
          <w:sz w:val="20"/>
          <w:szCs w:val="22"/>
        </w:rPr>
        <w:t xml:space="preserve">Compliance department will investigate all potential or actual compliance and fraud, waste, and abuse issues that are reported </w:t>
      </w:r>
      <w:r w:rsidR="000877BC" w:rsidRPr="00A83444">
        <w:rPr>
          <w:rFonts w:ascii="Segoe UI" w:hAnsi="Segoe UI" w:cs="Segoe UI"/>
          <w:color w:val="auto"/>
          <w:sz w:val="20"/>
          <w:szCs w:val="22"/>
        </w:rPr>
        <w:t>to or identified by</w:t>
      </w:r>
      <w:r w:rsidR="0030712B" w:rsidRPr="00A83444">
        <w:rPr>
          <w:rFonts w:ascii="Segoe UI" w:hAnsi="Segoe UI" w:cs="Segoe UI"/>
          <w:color w:val="auto"/>
          <w:sz w:val="20"/>
          <w:szCs w:val="22"/>
        </w:rPr>
        <w:t xml:space="preserve"> Compliance. Compliance will document all investigations in the Compliance Database and report compliance issues to relevant parties, including the Compliance Committee and regulatory bodies. </w:t>
      </w:r>
    </w:p>
    <w:p w14:paraId="7D9CBA70" w14:textId="19881CEA" w:rsidR="00D9492C" w:rsidRPr="00A83444" w:rsidRDefault="00D9492C" w:rsidP="00D9492C"/>
    <w:p w14:paraId="00A95846" w14:textId="77777777" w:rsidR="00D9492C" w:rsidRDefault="00D9492C" w:rsidP="00D9492C">
      <w:pPr>
        <w:pStyle w:val="Heading1"/>
      </w:pPr>
      <w:r>
        <w:t>Definitions</w:t>
      </w:r>
    </w:p>
    <w:tbl>
      <w:tblPr>
        <w:tblStyle w:val="TableGrid"/>
        <w:tblW w:w="0" w:type="auto"/>
        <w:tblLayout w:type="fixed"/>
        <w:tblCellMar>
          <w:left w:w="43" w:type="dxa"/>
          <w:right w:w="43" w:type="dxa"/>
        </w:tblCellMar>
        <w:tblLook w:val="04A0" w:firstRow="1" w:lastRow="0" w:firstColumn="1" w:lastColumn="0" w:noHBand="0" w:noVBand="1"/>
      </w:tblPr>
      <w:tblGrid>
        <w:gridCol w:w="2245"/>
        <w:gridCol w:w="8545"/>
      </w:tblGrid>
      <w:tr w:rsidR="0094336F" w14:paraId="4EFB367F" w14:textId="77777777" w:rsidTr="00F87AD6">
        <w:tc>
          <w:tcPr>
            <w:tcW w:w="2245" w:type="dxa"/>
          </w:tcPr>
          <w:p w14:paraId="7BAC1306" w14:textId="3678D22B" w:rsidR="0094336F" w:rsidRDefault="0094336F" w:rsidP="0094336F">
            <w:r>
              <w:t>FDR</w:t>
            </w:r>
          </w:p>
        </w:tc>
        <w:tc>
          <w:tcPr>
            <w:tcW w:w="8545" w:type="dxa"/>
          </w:tcPr>
          <w:p w14:paraId="1362C3B8" w14:textId="746E9E6F" w:rsidR="0094336F" w:rsidRDefault="0094336F" w:rsidP="0094336F">
            <w:r>
              <w:t>First-Tier, Downstream, or Related Entity</w:t>
            </w:r>
          </w:p>
        </w:tc>
      </w:tr>
      <w:sdt>
        <w:sdtPr>
          <w:id w:val="-1763837394"/>
          <w15:repeatingSection/>
        </w:sdtPr>
        <w:sdtEndPr/>
        <w:sdtContent>
          <w:sdt>
            <w:sdtPr>
              <w:id w:val="-1104572310"/>
              <w:placeholder>
                <w:docPart w:val="FE0D1C7C494141F5BA56668E686A5443"/>
              </w:placeholder>
              <w15:repeatingSectionItem/>
            </w:sdtPr>
            <w:sdtEndPr/>
            <w:sdtContent>
              <w:tr w:rsidR="0094336F" w14:paraId="66BC2254" w14:textId="77777777" w:rsidTr="00F87AD6">
                <w:tc>
                  <w:tcPr>
                    <w:tcW w:w="2245" w:type="dxa"/>
                  </w:tcPr>
                  <w:p w14:paraId="16667903" w14:textId="18CDD412" w:rsidR="0094336F" w:rsidRDefault="0094336F" w:rsidP="0094336F">
                    <w:r>
                      <w:t>First-Tier Entity</w:t>
                    </w:r>
                  </w:p>
                </w:tc>
                <w:tc>
                  <w:tcPr>
                    <w:tcW w:w="8545" w:type="dxa"/>
                  </w:tcPr>
                  <w:p w14:paraId="2820AAE5" w14:textId="77777777" w:rsidR="0094336F" w:rsidRDefault="0094336F" w:rsidP="0094336F">
                    <w:pPr>
                      <w:autoSpaceDE w:val="0"/>
                      <w:autoSpaceDN w:val="0"/>
                      <w:adjustRightInd w:val="0"/>
                      <w:spacing w:before="40" w:after="20"/>
                      <w:jc w:val="both"/>
                      <w:rPr>
                        <w:rFonts w:cs="Arial"/>
                      </w:rPr>
                    </w:pPr>
                    <w:r>
                      <w:rPr>
                        <w:rFonts w:cs="Arial"/>
                      </w:rPr>
                      <w:t>Any party that enters into a written arrangement, acceptable to CMS, with a Medicare Advantage Organization (MAO), Part D plan sponsor to provide:</w:t>
                    </w:r>
                  </w:p>
                  <w:p w14:paraId="2FA921B1" w14:textId="4021919E" w:rsidR="0094336F" w:rsidRDefault="0094336F" w:rsidP="0094336F">
                    <w:pPr>
                      <w:autoSpaceDE w:val="0"/>
                      <w:autoSpaceDN w:val="0"/>
                      <w:adjustRightInd w:val="0"/>
                      <w:spacing w:before="40" w:after="20"/>
                      <w:jc w:val="both"/>
                      <w:rPr>
                        <w:rFonts w:cs="Arial"/>
                      </w:rPr>
                    </w:pPr>
                    <w:r>
                      <w:rPr>
                        <w:rFonts w:cs="Arial"/>
                      </w:rPr>
                      <w:t>Administrative services (</w:t>
                    </w:r>
                    <w:proofErr w:type="gramStart"/>
                    <w:r>
                      <w:rPr>
                        <w:rFonts w:cs="Arial"/>
                      </w:rPr>
                      <w:t>e.g.</w:t>
                    </w:r>
                    <w:proofErr w:type="gramEnd"/>
                    <w:r>
                      <w:rPr>
                        <w:rFonts w:cs="Arial"/>
                      </w:rPr>
                      <w:t xml:space="preserve"> marketing, utilization management, quality management, application processing, enrollment or disenrollment functions, claims processing, adjudicating Medicare organization determinations, appeals and grievances, provider credentialing); or</w:t>
                    </w:r>
                  </w:p>
                  <w:p w14:paraId="743D1784" w14:textId="02A75B7A" w:rsidR="0094336F" w:rsidRDefault="0094336F" w:rsidP="0094336F">
                    <w:r>
                      <w:rPr>
                        <w:rFonts w:cs="Arial"/>
                      </w:rPr>
                      <w:t>Health care services to a Medicare eligible individual under the Medicare Advantage program or Part D program (</w:t>
                    </w:r>
                    <w:proofErr w:type="gramStart"/>
                    <w:r>
                      <w:rPr>
                        <w:rFonts w:cs="Arial"/>
                      </w:rPr>
                      <w:t>e.g.</w:t>
                    </w:r>
                    <w:proofErr w:type="gramEnd"/>
                    <w:r>
                      <w:rPr>
                        <w:rFonts w:cs="Arial"/>
                      </w:rPr>
                      <w:t xml:space="preserve"> independent practice association, pharmacy benefit manager, hospital)</w:t>
                    </w:r>
                  </w:p>
                </w:tc>
              </w:tr>
            </w:sdtContent>
          </w:sdt>
        </w:sdtContent>
      </w:sdt>
      <w:tr w:rsidR="0094336F" w14:paraId="71D01C07" w14:textId="77777777" w:rsidTr="00F87AD6">
        <w:tc>
          <w:tcPr>
            <w:tcW w:w="2245" w:type="dxa"/>
          </w:tcPr>
          <w:p w14:paraId="14D279FA" w14:textId="360A9F4E" w:rsidR="0094336F" w:rsidRDefault="0094336F" w:rsidP="0094336F">
            <w:r>
              <w:t>Downstream Entity</w:t>
            </w:r>
          </w:p>
        </w:tc>
        <w:tc>
          <w:tcPr>
            <w:tcW w:w="8545" w:type="dxa"/>
          </w:tcPr>
          <w:p w14:paraId="699E1D1F" w14:textId="508E54D1" w:rsidR="0094336F" w:rsidRDefault="0094336F" w:rsidP="0094336F">
            <w:r>
              <w:rPr>
                <w:rFonts w:cs="Arial"/>
              </w:rPr>
              <w:t>Any party that enters into a written arrangement, below the level of the arrangement between a sponsor and a First-Tier Entity for provision of administrative services or health care services to a Medicare or FFM eligible individual under the Medicare Advantage program, Part D program. (</w:t>
            </w:r>
            <w:proofErr w:type="gramStart"/>
            <w:r>
              <w:rPr>
                <w:rFonts w:cs="Arial"/>
              </w:rPr>
              <w:t>e.g.</w:t>
            </w:r>
            <w:proofErr w:type="gramEnd"/>
            <w:r>
              <w:rPr>
                <w:rFonts w:cs="Arial"/>
              </w:rPr>
              <w:t xml:space="preserve"> hospitals within a health system or credentialing verification organization)</w:t>
            </w:r>
          </w:p>
        </w:tc>
      </w:tr>
      <w:tr w:rsidR="0094336F" w14:paraId="56D41230" w14:textId="77777777" w:rsidTr="00F87AD6">
        <w:tc>
          <w:tcPr>
            <w:tcW w:w="2245" w:type="dxa"/>
          </w:tcPr>
          <w:p w14:paraId="684B0A0B" w14:textId="7F58BBD3" w:rsidR="0094336F" w:rsidRDefault="0094336F" w:rsidP="0094336F">
            <w:r>
              <w:t>Related Entity</w:t>
            </w:r>
          </w:p>
        </w:tc>
        <w:tc>
          <w:tcPr>
            <w:tcW w:w="8545" w:type="dxa"/>
          </w:tcPr>
          <w:p w14:paraId="21CD2A14" w14:textId="0A2A8F0F" w:rsidR="0094336F" w:rsidRDefault="0094336F" w:rsidP="0094336F">
            <w:r>
              <w:rPr>
                <w:rFonts w:cs="Arial"/>
              </w:rPr>
              <w:t>Any entity that is related to the sponsor by common ownership or control and either: (1) performs some of the sponsor’s management functions under a contract or delegation; (2) furnishes services to Medicare eligible individuals under an oral or written agreement; or (3) leases real property or sells materials to the sponsor at a cost of more than $2,500 during a contract period. (42 C.F.R. § 423.501)</w:t>
            </w:r>
          </w:p>
        </w:tc>
      </w:tr>
    </w:tbl>
    <w:p w14:paraId="5A7DE8A0" w14:textId="77777777" w:rsidR="00D9492C" w:rsidRDefault="00D9492C" w:rsidP="00D9492C">
      <w:pPr>
        <w:pStyle w:val="Heading1"/>
      </w:pPr>
      <w:r>
        <w:t>Related Documents</w:t>
      </w:r>
    </w:p>
    <w:p w14:paraId="16F686D0" w14:textId="245DB4D8" w:rsidR="0094336F" w:rsidRDefault="000877BC" w:rsidP="0094336F">
      <w:pPr>
        <w:pStyle w:val="ListParagraph"/>
        <w:numPr>
          <w:ilvl w:val="0"/>
          <w:numId w:val="6"/>
        </w:numPr>
      </w:pPr>
      <w:r>
        <w:t xml:space="preserve">HumR.020 </w:t>
      </w:r>
      <w:r w:rsidR="0094336F">
        <w:t>Quartz HR Disciplin</w:t>
      </w:r>
      <w:r>
        <w:t>ary</w:t>
      </w:r>
      <w:r w:rsidR="0094336F">
        <w:t xml:space="preserve"> Policy</w:t>
      </w:r>
    </w:p>
    <w:p w14:paraId="0A9E9249" w14:textId="6B286149" w:rsidR="0094336F" w:rsidRDefault="000877BC" w:rsidP="0094336F">
      <w:pPr>
        <w:pStyle w:val="ListParagraph"/>
        <w:numPr>
          <w:ilvl w:val="0"/>
          <w:numId w:val="6"/>
        </w:numPr>
      </w:pPr>
      <w:r>
        <w:t xml:space="preserve">C.019 </w:t>
      </w:r>
      <w:r w:rsidR="0094336F">
        <w:t>Effective Lines of Communication Policy</w:t>
      </w:r>
    </w:p>
    <w:p w14:paraId="005EC142" w14:textId="18CD86C4" w:rsidR="0094336F" w:rsidRDefault="000877BC" w:rsidP="0094336F">
      <w:pPr>
        <w:pStyle w:val="ListParagraph"/>
        <w:numPr>
          <w:ilvl w:val="0"/>
          <w:numId w:val="6"/>
        </w:numPr>
      </w:pPr>
      <w:r>
        <w:t xml:space="preserve">C.026 </w:t>
      </w:r>
      <w:r w:rsidR="0094336F">
        <w:t>Compliance Auditing and Monitoring Policy</w:t>
      </w:r>
    </w:p>
    <w:p w14:paraId="1FB7C361" w14:textId="596E2C3A" w:rsidR="000877BC" w:rsidRDefault="0016320E" w:rsidP="0094336F">
      <w:pPr>
        <w:pStyle w:val="ListParagraph"/>
        <w:numPr>
          <w:ilvl w:val="0"/>
          <w:numId w:val="6"/>
        </w:numPr>
      </w:pPr>
      <w:hyperlink r:id="rId12" w:history="1">
        <w:r w:rsidR="000877BC" w:rsidRPr="000877BC">
          <w:rPr>
            <w:rStyle w:val="Hyperlink"/>
          </w:rPr>
          <w:t>Compliance Corrective Action Plan Form</w:t>
        </w:r>
      </w:hyperlink>
    </w:p>
    <w:p w14:paraId="2B52227C" w14:textId="1409B978" w:rsidR="00D9492C" w:rsidRDefault="00D9492C" w:rsidP="00D9492C"/>
    <w:p w14:paraId="0901B928" w14:textId="77777777" w:rsidR="00D9492C" w:rsidRDefault="00D9492C" w:rsidP="00D9492C">
      <w:pPr>
        <w:pStyle w:val="Heading1"/>
      </w:pPr>
      <w:r>
        <w:t>Requirements</w:t>
      </w:r>
    </w:p>
    <w:p w14:paraId="40E2BEE3" w14:textId="6DCFF5F2" w:rsidR="0094336F" w:rsidRDefault="0094336F" w:rsidP="0094336F">
      <w:pPr>
        <w:numPr>
          <w:ilvl w:val="0"/>
          <w:numId w:val="7"/>
        </w:numPr>
        <w:spacing w:after="0" w:line="240" w:lineRule="auto"/>
      </w:pPr>
      <w:r>
        <w:t>OIG Model Compliance Program Plan, Federal Register, 11/15/99, (G. Responding to Detected Offenses, Developing Corrective Action Initiatives and Report to Government Authorities)</w:t>
      </w:r>
    </w:p>
    <w:p w14:paraId="55C1CECC" w14:textId="77777777" w:rsidR="0094336F" w:rsidRDefault="0094336F" w:rsidP="0094336F">
      <w:pPr>
        <w:numPr>
          <w:ilvl w:val="0"/>
          <w:numId w:val="7"/>
        </w:numPr>
        <w:spacing w:after="0" w:line="240" w:lineRule="auto"/>
      </w:pPr>
      <w:r>
        <w:t>Prescription Drug Benefit Manual, Chapter 9, Section 50.7</w:t>
      </w:r>
    </w:p>
    <w:p w14:paraId="07275B21" w14:textId="77777777" w:rsidR="0094336F" w:rsidRDefault="0094336F" w:rsidP="0094336F">
      <w:pPr>
        <w:numPr>
          <w:ilvl w:val="0"/>
          <w:numId w:val="7"/>
        </w:numPr>
        <w:spacing w:after="0" w:line="240" w:lineRule="auto"/>
      </w:pPr>
      <w:r>
        <w:lastRenderedPageBreak/>
        <w:t>45 CFR s. 156.340</w:t>
      </w:r>
    </w:p>
    <w:p w14:paraId="0BDFAD80" w14:textId="77777777" w:rsidR="0094336F" w:rsidRDefault="0094336F" w:rsidP="0094336F">
      <w:pPr>
        <w:numPr>
          <w:ilvl w:val="0"/>
          <w:numId w:val="7"/>
        </w:numPr>
        <w:spacing w:after="0" w:line="240" w:lineRule="auto"/>
      </w:pPr>
      <w:r>
        <w:t>45 CFR s. 156.715</w:t>
      </w:r>
    </w:p>
    <w:p w14:paraId="1F0FB6EF" w14:textId="77777777" w:rsidR="0094336F" w:rsidRDefault="0094336F" w:rsidP="0094336F">
      <w:pPr>
        <w:numPr>
          <w:ilvl w:val="0"/>
          <w:numId w:val="7"/>
        </w:numPr>
        <w:spacing w:after="0" w:line="240" w:lineRule="auto"/>
      </w:pPr>
      <w:r>
        <w:t>Wis. Adm. Code Ins. 9.42</w:t>
      </w:r>
    </w:p>
    <w:p w14:paraId="2228D94C" w14:textId="2A6E8ACF" w:rsidR="00D9492C" w:rsidRDefault="00D9492C" w:rsidP="00D9492C"/>
    <w:p w14:paraId="14250111" w14:textId="77777777" w:rsidR="00D9492C" w:rsidRDefault="00D9492C" w:rsidP="00D9492C">
      <w:pPr>
        <w:pStyle w:val="Heading1"/>
      </w:pPr>
      <w:r>
        <w:t>Procedure</w:t>
      </w:r>
    </w:p>
    <w:p w14:paraId="63CB13E9"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As used herein, the term “compliance issue” shall mean action or conduct which constitutes or could constitute a potential violation of a law, regulation</w:t>
      </w:r>
      <w:r>
        <w:rPr>
          <w:rFonts w:ascii="Segoe UI" w:hAnsi="Segoe UI" w:cs="Segoe UI"/>
          <w:sz w:val="20"/>
          <w:szCs w:val="20"/>
        </w:rPr>
        <w:t>,</w:t>
      </w:r>
      <w:r w:rsidRPr="00033A2C">
        <w:rPr>
          <w:rFonts w:ascii="Segoe UI" w:hAnsi="Segoe UI" w:cs="Segoe UI"/>
          <w:sz w:val="20"/>
          <w:szCs w:val="20"/>
        </w:rPr>
        <w:t xml:space="preserve"> or company policy. </w:t>
      </w:r>
    </w:p>
    <w:p w14:paraId="00C7CF27" w14:textId="77777777" w:rsidR="0094336F" w:rsidRDefault="0094336F" w:rsidP="0094336F"/>
    <w:p w14:paraId="0C62C82A" w14:textId="77777777" w:rsidR="0094336F" w:rsidRPr="00033A2C" w:rsidRDefault="0094336F" w:rsidP="0094336F">
      <w:pPr>
        <w:pStyle w:val="Default"/>
        <w:rPr>
          <w:rFonts w:ascii="Segoe UI" w:hAnsi="Segoe UI" w:cs="Segoe UI"/>
          <w:sz w:val="20"/>
          <w:szCs w:val="20"/>
        </w:rPr>
      </w:pPr>
      <w:r w:rsidRPr="00033A2C">
        <w:rPr>
          <w:rFonts w:ascii="Segoe UI" w:hAnsi="Segoe UI" w:cs="Segoe UI"/>
          <w:b/>
          <w:bCs/>
          <w:sz w:val="20"/>
          <w:szCs w:val="20"/>
        </w:rPr>
        <w:t xml:space="preserve">Investigations: </w:t>
      </w:r>
    </w:p>
    <w:p w14:paraId="44A5A131" w14:textId="77777777" w:rsidR="0094336F" w:rsidRPr="00033A2C" w:rsidRDefault="0094336F" w:rsidP="0094336F">
      <w:pPr>
        <w:pStyle w:val="Default"/>
        <w:rPr>
          <w:rFonts w:ascii="Segoe UI" w:hAnsi="Segoe UI" w:cs="Segoe UI"/>
          <w:sz w:val="20"/>
          <w:szCs w:val="20"/>
        </w:rPr>
      </w:pPr>
      <w:r w:rsidRPr="006E1139">
        <w:rPr>
          <w:rFonts w:ascii="Segoe UI" w:hAnsi="Segoe UI" w:cs="Segoe UI"/>
          <w:color w:val="auto"/>
          <w:sz w:val="20"/>
          <w:szCs w:val="20"/>
        </w:rPr>
        <w:t xml:space="preserve">Workforce members, </w:t>
      </w:r>
      <w:r w:rsidRPr="00033A2C">
        <w:rPr>
          <w:rFonts w:ascii="Segoe UI" w:hAnsi="Segoe UI" w:cs="Segoe UI"/>
          <w:sz w:val="20"/>
          <w:szCs w:val="20"/>
        </w:rPr>
        <w:t>board members, and first-tier, downstream, and related entities (FDRs) have an obligation to promptly report noncompliance, as well as fraud, waste, and abuse</w:t>
      </w:r>
      <w:r>
        <w:rPr>
          <w:rFonts w:ascii="Segoe UI" w:hAnsi="Segoe UI" w:cs="Segoe UI"/>
          <w:sz w:val="20"/>
          <w:szCs w:val="20"/>
        </w:rPr>
        <w:t xml:space="preserve"> (FWA)</w:t>
      </w:r>
      <w:r w:rsidRPr="00033A2C">
        <w:rPr>
          <w:rFonts w:ascii="Segoe UI" w:hAnsi="Segoe UI" w:cs="Segoe UI"/>
          <w:sz w:val="20"/>
          <w:szCs w:val="20"/>
        </w:rPr>
        <w:t xml:space="preserve">, directly to </w:t>
      </w:r>
      <w:r w:rsidRPr="007555DA">
        <w:rPr>
          <w:rFonts w:ascii="Segoe UI" w:hAnsi="Segoe UI" w:cs="Segoe UI"/>
          <w:color w:val="auto"/>
          <w:sz w:val="20"/>
          <w:szCs w:val="20"/>
        </w:rPr>
        <w:t xml:space="preserve">their leader, the Compliance </w:t>
      </w:r>
      <w:r w:rsidRPr="00033A2C">
        <w:rPr>
          <w:rFonts w:ascii="Segoe UI" w:hAnsi="Segoe UI" w:cs="Segoe UI"/>
          <w:sz w:val="20"/>
          <w:szCs w:val="20"/>
        </w:rPr>
        <w:t>Officer(s), the Legal department, or another member of the Compliance Department staff, or, in the case of Medicare program noncompliance, directly to CMS, CMS’s designee (</w:t>
      </w:r>
      <w:r>
        <w:rPr>
          <w:rFonts w:ascii="Segoe UI" w:hAnsi="Segoe UI" w:cs="Segoe UI"/>
          <w:sz w:val="20"/>
          <w:szCs w:val="20"/>
        </w:rPr>
        <w:t>I-</w:t>
      </w:r>
      <w:r w:rsidRPr="00033A2C">
        <w:rPr>
          <w:rFonts w:ascii="Segoe UI" w:hAnsi="Segoe UI" w:cs="Segoe UI"/>
          <w:sz w:val="20"/>
          <w:szCs w:val="20"/>
        </w:rPr>
        <w:t>MEDIC), or law enforcement, or, in the case of Medicaid program noncompliance, directly to the DHS Office of the Inspector General</w:t>
      </w:r>
      <w:r>
        <w:rPr>
          <w:rFonts w:ascii="Segoe UI" w:hAnsi="Segoe UI" w:cs="Segoe UI"/>
          <w:sz w:val="20"/>
          <w:szCs w:val="20"/>
        </w:rPr>
        <w:t>,</w:t>
      </w:r>
      <w:r w:rsidRPr="00033A2C">
        <w:rPr>
          <w:rFonts w:ascii="Segoe UI" w:hAnsi="Segoe UI" w:cs="Segoe UI"/>
          <w:sz w:val="20"/>
          <w:szCs w:val="20"/>
        </w:rPr>
        <w:t xml:space="preserve"> and are expected to assist in their resolution. FDRs are obligated to promptly report any suspected issues of noncompliance from any reports received on their own anonymous fraud hotline, or any other method of receiving reports, are expected to assist in their resolution, and are required to take disciplinary action as necessary. </w:t>
      </w:r>
    </w:p>
    <w:p w14:paraId="2125A10B" w14:textId="77777777" w:rsidR="0094336F" w:rsidRPr="00033A2C" w:rsidRDefault="0094336F" w:rsidP="0094336F">
      <w:pPr>
        <w:pStyle w:val="Default"/>
        <w:rPr>
          <w:rFonts w:ascii="Segoe UI" w:hAnsi="Segoe UI" w:cs="Segoe UI"/>
          <w:sz w:val="20"/>
          <w:szCs w:val="20"/>
        </w:rPr>
      </w:pPr>
    </w:p>
    <w:p w14:paraId="3B9FE2B0" w14:textId="77777777" w:rsidR="0094336F" w:rsidRPr="00033A2C" w:rsidRDefault="0094336F" w:rsidP="0094336F">
      <w:pPr>
        <w:rPr>
          <w:rFonts w:cs="Segoe UI"/>
          <w:szCs w:val="20"/>
        </w:rPr>
      </w:pPr>
      <w:r w:rsidRPr="00033A2C">
        <w:rPr>
          <w:rFonts w:cs="Segoe UI"/>
          <w:szCs w:val="20"/>
        </w:rPr>
        <w:t>When the Compliance Department receives a report concerning or otherwise discovers compliance issues, it must be documented in the</w:t>
      </w:r>
      <w:r>
        <w:rPr>
          <w:rFonts w:cs="Segoe UI"/>
          <w:szCs w:val="20"/>
        </w:rPr>
        <w:t xml:space="preserve"> </w:t>
      </w:r>
      <w:r w:rsidRPr="006E1139">
        <w:rPr>
          <w:rFonts w:cs="Segoe UI"/>
          <w:szCs w:val="20"/>
        </w:rPr>
        <w:t xml:space="preserve">Legisway </w:t>
      </w:r>
      <w:r>
        <w:rPr>
          <w:rFonts w:cs="Segoe UI"/>
          <w:szCs w:val="20"/>
        </w:rPr>
        <w:t>Compliance</w:t>
      </w:r>
      <w:r w:rsidRPr="00033A2C">
        <w:rPr>
          <w:rFonts w:cs="Segoe UI"/>
          <w:szCs w:val="20"/>
        </w:rPr>
        <w:t xml:space="preserve"> Database, complete with root cause of the issue, results of the investigation, and corrective actions taken, if applicable.  </w:t>
      </w:r>
    </w:p>
    <w:p w14:paraId="7FC83C8C" w14:textId="77777777" w:rsidR="0094336F" w:rsidRPr="00033A2C" w:rsidRDefault="0094336F" w:rsidP="0094336F">
      <w:pPr>
        <w:rPr>
          <w:rFonts w:cs="Segoe UI"/>
          <w:szCs w:val="20"/>
        </w:rPr>
      </w:pPr>
      <w:r w:rsidRPr="00033A2C">
        <w:rPr>
          <w:rFonts w:cs="Segoe UI"/>
          <w:szCs w:val="20"/>
        </w:rPr>
        <w:t xml:space="preserve">In the event that an issue requires escalation, Compliance will document </w:t>
      </w:r>
      <w:r>
        <w:rPr>
          <w:rFonts w:cs="Segoe UI"/>
          <w:szCs w:val="20"/>
        </w:rPr>
        <w:t xml:space="preserve">the Issue Priority as “high” in the </w:t>
      </w:r>
      <w:r w:rsidRPr="006E1139">
        <w:rPr>
          <w:rFonts w:cs="Segoe UI"/>
          <w:szCs w:val="20"/>
        </w:rPr>
        <w:t xml:space="preserve">Legisway </w:t>
      </w:r>
      <w:r>
        <w:rPr>
          <w:rFonts w:cs="Segoe UI"/>
          <w:szCs w:val="20"/>
        </w:rPr>
        <w:t>Compliance Database</w:t>
      </w:r>
      <w:r w:rsidRPr="00033A2C">
        <w:rPr>
          <w:rFonts w:cs="Segoe UI"/>
          <w:szCs w:val="20"/>
        </w:rPr>
        <w:t>. Escalated issues typically are those that pose reputational or financial risk to the organization or require immediate action.</w:t>
      </w:r>
    </w:p>
    <w:p w14:paraId="3FC7B30E" w14:textId="395D54CD" w:rsidR="0094336F" w:rsidRPr="00033A2C" w:rsidRDefault="0094336F" w:rsidP="0094336F">
      <w:pPr>
        <w:rPr>
          <w:rFonts w:cs="Segoe UI"/>
          <w:szCs w:val="20"/>
        </w:rPr>
      </w:pPr>
      <w:r w:rsidRPr="00033A2C">
        <w:rPr>
          <w:rFonts w:cs="Segoe UI"/>
          <w:szCs w:val="20"/>
        </w:rPr>
        <w:t>When the Compliance Department receive</w:t>
      </w:r>
      <w:r>
        <w:rPr>
          <w:rFonts w:cs="Segoe UI"/>
          <w:szCs w:val="20"/>
        </w:rPr>
        <w:t>s</w:t>
      </w:r>
      <w:r w:rsidRPr="00033A2C">
        <w:rPr>
          <w:rFonts w:cs="Segoe UI"/>
          <w:szCs w:val="20"/>
        </w:rPr>
        <w:t xml:space="preserve"> fraud alerts via HPMS memoranda, Compliance will send the </w:t>
      </w:r>
      <w:r w:rsidR="00A83444" w:rsidRPr="00033A2C">
        <w:rPr>
          <w:rFonts w:cs="Segoe UI"/>
          <w:szCs w:val="20"/>
        </w:rPr>
        <w:t>provider’s</w:t>
      </w:r>
      <w:r>
        <w:rPr>
          <w:rFonts w:cs="Segoe UI"/>
          <w:szCs w:val="20"/>
        </w:rPr>
        <w:t xml:space="preserve"> </w:t>
      </w:r>
      <w:r w:rsidRPr="00033A2C">
        <w:rPr>
          <w:rFonts w:cs="Segoe UI"/>
          <w:szCs w:val="20"/>
        </w:rPr>
        <w:t xml:space="preserve">name, as listed in the alert, to the SIU department to review if the organization has paid past claims to that provider. In the event the fraud alert lists a contracted provider, Compliance will forward to the Provider </w:t>
      </w:r>
      <w:r w:rsidR="0030712B">
        <w:rPr>
          <w:rFonts w:cs="Segoe UI"/>
          <w:szCs w:val="20"/>
        </w:rPr>
        <w:t>Affairs</w:t>
      </w:r>
      <w:r w:rsidRPr="00033A2C">
        <w:rPr>
          <w:rFonts w:cs="Segoe UI"/>
          <w:szCs w:val="20"/>
        </w:rPr>
        <w:t xml:space="preserve"> department. In the event the fraud alert lists a pharmacy, Compliance will involve the Pharmacy department to review potential paid claims. </w:t>
      </w:r>
    </w:p>
    <w:p w14:paraId="6B2D0503"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The Compliance Department will conduct a timely and well-documented reasonable inquiry into any compliance incident or issue as it arises. Regardless of how the noncompliance or FWA is identified, Compliance will initiate a reasonable inquiry as quickly as possible, but no later than two weeks after the date of identification.</w:t>
      </w:r>
    </w:p>
    <w:p w14:paraId="392637A1"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 xml:space="preserve"> </w:t>
      </w:r>
    </w:p>
    <w:p w14:paraId="0A30F8ED" w14:textId="77777777" w:rsidR="0094336F" w:rsidRPr="00033A2C" w:rsidRDefault="0094336F" w:rsidP="0094336F">
      <w:pPr>
        <w:pStyle w:val="Default"/>
        <w:rPr>
          <w:rFonts w:cs="Segoe UI"/>
          <w:szCs w:val="20"/>
        </w:rPr>
      </w:pPr>
      <w:r w:rsidRPr="00033A2C">
        <w:rPr>
          <w:rFonts w:ascii="Segoe UI" w:hAnsi="Segoe UI" w:cs="Segoe UI"/>
          <w:sz w:val="20"/>
          <w:szCs w:val="20"/>
        </w:rPr>
        <w:t>The Compliance Officer(s)</w:t>
      </w:r>
      <w:r>
        <w:rPr>
          <w:rFonts w:ascii="Segoe UI" w:hAnsi="Segoe UI" w:cs="Segoe UI"/>
          <w:sz w:val="20"/>
          <w:szCs w:val="20"/>
        </w:rPr>
        <w:t>, or his or her designee,</w:t>
      </w:r>
      <w:r w:rsidRPr="00033A2C">
        <w:rPr>
          <w:rFonts w:ascii="Segoe UI" w:hAnsi="Segoe UI" w:cs="Segoe UI"/>
          <w:sz w:val="20"/>
          <w:szCs w:val="20"/>
        </w:rPr>
        <w:t xml:space="preserve"> shall conduct an investigation to identify all facts surrounding the compliance issue. </w:t>
      </w:r>
      <w:r w:rsidRPr="00197E60">
        <w:rPr>
          <w:rFonts w:ascii="Segoe UI" w:hAnsi="Segoe UI" w:cs="Segoe UI"/>
          <w:sz w:val="20"/>
          <w:szCs w:val="20"/>
        </w:rPr>
        <w:t>The investigation should determine:</w:t>
      </w:r>
    </w:p>
    <w:p w14:paraId="13CA62FC" w14:textId="77777777" w:rsidR="0094336F" w:rsidRPr="00033A2C" w:rsidRDefault="0094336F" w:rsidP="0094336F">
      <w:pPr>
        <w:pStyle w:val="Default"/>
        <w:spacing w:after="18"/>
        <w:ind w:left="720"/>
        <w:rPr>
          <w:rFonts w:ascii="Segoe UI" w:hAnsi="Segoe UI" w:cs="Segoe UI"/>
          <w:sz w:val="20"/>
          <w:szCs w:val="20"/>
        </w:rPr>
      </w:pPr>
      <w:r w:rsidRPr="00033A2C">
        <w:rPr>
          <w:rFonts w:ascii="Segoe UI" w:hAnsi="Segoe UI" w:cs="Segoe UI"/>
          <w:sz w:val="20"/>
          <w:szCs w:val="20"/>
        </w:rPr>
        <w:t xml:space="preserve">A. the nature of the compliance issue, </w:t>
      </w:r>
    </w:p>
    <w:p w14:paraId="56440A94" w14:textId="77777777" w:rsidR="0094336F" w:rsidRPr="00033A2C" w:rsidRDefault="0094336F" w:rsidP="0094336F">
      <w:pPr>
        <w:pStyle w:val="Default"/>
        <w:spacing w:after="18"/>
        <w:ind w:left="720"/>
        <w:rPr>
          <w:rFonts w:ascii="Segoe UI" w:hAnsi="Segoe UI" w:cs="Segoe UI"/>
          <w:sz w:val="20"/>
          <w:szCs w:val="20"/>
        </w:rPr>
      </w:pPr>
      <w:r w:rsidRPr="00033A2C">
        <w:rPr>
          <w:rFonts w:ascii="Segoe UI" w:hAnsi="Segoe UI" w:cs="Segoe UI"/>
          <w:sz w:val="20"/>
          <w:szCs w:val="20"/>
        </w:rPr>
        <w:t xml:space="preserve">B. the evidence supporting the compliance issue, and </w:t>
      </w:r>
    </w:p>
    <w:p w14:paraId="0B56AFFA" w14:textId="77777777" w:rsidR="0094336F" w:rsidRDefault="0094336F" w:rsidP="0094336F">
      <w:pPr>
        <w:pStyle w:val="Default"/>
        <w:ind w:left="720"/>
        <w:rPr>
          <w:rFonts w:ascii="Segoe UI" w:hAnsi="Segoe UI" w:cs="Segoe UI"/>
          <w:sz w:val="20"/>
          <w:szCs w:val="20"/>
        </w:rPr>
      </w:pPr>
      <w:r w:rsidRPr="00033A2C">
        <w:rPr>
          <w:rFonts w:ascii="Segoe UI" w:hAnsi="Segoe UI" w:cs="Segoe UI"/>
          <w:sz w:val="20"/>
          <w:szCs w:val="20"/>
        </w:rPr>
        <w:t xml:space="preserve">C. the person or persons with relevant knowledge regarding the compliance issue. </w:t>
      </w:r>
    </w:p>
    <w:p w14:paraId="17A9C5FE" w14:textId="77777777" w:rsidR="0094336F" w:rsidRPr="00177104" w:rsidRDefault="0094336F" w:rsidP="0094336F">
      <w:pPr>
        <w:pStyle w:val="Default"/>
        <w:ind w:left="720"/>
        <w:rPr>
          <w:rFonts w:ascii="Segoe UI" w:hAnsi="Segoe UI" w:cs="Segoe UI"/>
          <w:sz w:val="20"/>
          <w:szCs w:val="20"/>
        </w:rPr>
      </w:pPr>
    </w:p>
    <w:p w14:paraId="671D4F47" w14:textId="77777777" w:rsidR="0094336F" w:rsidRPr="00E0468E" w:rsidRDefault="0094336F" w:rsidP="0094336F">
      <w:pPr>
        <w:rPr>
          <w:rFonts w:cs="Segoe UI"/>
          <w:szCs w:val="20"/>
        </w:rPr>
      </w:pPr>
      <w:r w:rsidRPr="00033A2C">
        <w:rPr>
          <w:rFonts w:cs="Segoe UI"/>
          <w:szCs w:val="20"/>
        </w:rPr>
        <w:t>Investigations shall be conducted under the authority of the Compliance Officer(s), utilizing persons having sufficient levels of expertise and knowledge with regard to the compliance issue at hand. If the issue involves the work of Human Resources instead of Compliance, Compliance must still document the issue and follow up with Human Resources until the issue is closed.</w:t>
      </w:r>
    </w:p>
    <w:p w14:paraId="7C99A59A" w14:textId="300C109C" w:rsidR="0094336F" w:rsidRPr="0030712B" w:rsidRDefault="0094336F" w:rsidP="0094336F">
      <w:pPr>
        <w:rPr>
          <w:rFonts w:cs="Segoe UI"/>
          <w:szCs w:val="20"/>
        </w:rPr>
      </w:pPr>
      <w:r w:rsidRPr="00033A2C">
        <w:rPr>
          <w:rFonts w:cs="Segoe UI"/>
          <w:szCs w:val="20"/>
        </w:rPr>
        <w:lastRenderedPageBreak/>
        <w:t>The Compliance Officer(s) shall have access to all company records necessary to complete the investigation in a timely manner. The investigation will be concluded within 60 calendar days unless an extension is justified. All investigations shall be handled in a confidential manner that protects the privacy of persons who reported or are the subject matter of actual or alleged compliance issue</w:t>
      </w:r>
      <w:r>
        <w:rPr>
          <w:rFonts w:cs="Segoe UI"/>
          <w:szCs w:val="20"/>
        </w:rPr>
        <w:t>s</w:t>
      </w:r>
      <w:r w:rsidRPr="00033A2C">
        <w:rPr>
          <w:rFonts w:cs="Segoe UI"/>
          <w:szCs w:val="20"/>
        </w:rPr>
        <w:t>.</w:t>
      </w:r>
    </w:p>
    <w:p w14:paraId="2D73048D"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 xml:space="preserve">The findings during the investigation shall be reviewed by the Compliance Officer(s) to determine the action to be taken regarding the compliance issue, including whether and if so, how to implement a corrective action plan, which may involve: </w:t>
      </w:r>
    </w:p>
    <w:p w14:paraId="30825596"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revision of policies</w:t>
      </w:r>
    </w:p>
    <w:p w14:paraId="131A3675"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compliance education and training</w:t>
      </w:r>
    </w:p>
    <w:p w14:paraId="6FA7ED9C" w14:textId="39EF7F3C" w:rsidR="0094336F" w:rsidRPr="00033A2C" w:rsidRDefault="00FA0956" w:rsidP="0094336F">
      <w:pPr>
        <w:pStyle w:val="Default"/>
        <w:numPr>
          <w:ilvl w:val="0"/>
          <w:numId w:val="8"/>
        </w:numPr>
        <w:spacing w:after="18"/>
        <w:rPr>
          <w:rFonts w:ascii="Segoe UI" w:hAnsi="Segoe UI" w:cs="Segoe UI"/>
          <w:sz w:val="20"/>
          <w:szCs w:val="20"/>
        </w:rPr>
      </w:pPr>
      <w:r>
        <w:rPr>
          <w:rFonts w:ascii="Segoe UI" w:hAnsi="Segoe UI" w:cs="Segoe UI"/>
          <w:sz w:val="20"/>
          <w:szCs w:val="20"/>
        </w:rPr>
        <w:t>recovery</w:t>
      </w:r>
      <w:r w:rsidRPr="00033A2C">
        <w:rPr>
          <w:rFonts w:ascii="Segoe UI" w:hAnsi="Segoe UI" w:cs="Segoe UI"/>
          <w:sz w:val="20"/>
          <w:szCs w:val="20"/>
        </w:rPr>
        <w:t xml:space="preserve"> </w:t>
      </w:r>
      <w:r w:rsidR="0094336F" w:rsidRPr="00033A2C">
        <w:rPr>
          <w:rFonts w:ascii="Segoe UI" w:hAnsi="Segoe UI" w:cs="Segoe UI"/>
          <w:sz w:val="20"/>
          <w:szCs w:val="20"/>
        </w:rPr>
        <w:t>of overpayments</w:t>
      </w:r>
    </w:p>
    <w:p w14:paraId="185361FA"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 xml:space="preserve">determining, in consultation with the Compliance Committee, whether </w:t>
      </w:r>
      <w:r>
        <w:rPr>
          <w:rFonts w:ascii="Segoe UI" w:hAnsi="Segoe UI" w:cs="Segoe UI"/>
          <w:sz w:val="20"/>
          <w:szCs w:val="20"/>
        </w:rPr>
        <w:t>Quartz</w:t>
      </w:r>
      <w:r w:rsidRPr="00033A2C">
        <w:rPr>
          <w:rFonts w:ascii="Segoe UI" w:hAnsi="Segoe UI" w:cs="Segoe UI"/>
          <w:sz w:val="20"/>
          <w:szCs w:val="20"/>
        </w:rPr>
        <w:t xml:space="preserve"> should voluntarily disclose the improper conduct to the government</w:t>
      </w:r>
    </w:p>
    <w:p w14:paraId="51E2614D"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recommending termination of relationships with contractors or vendors who may have acted improperly</w:t>
      </w:r>
    </w:p>
    <w:p w14:paraId="74BBAAA0"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 xml:space="preserve">recommending disciplinary action or termination of employment; or </w:t>
      </w:r>
    </w:p>
    <w:p w14:paraId="5E8DAC4B" w14:textId="77777777" w:rsidR="0094336F" w:rsidRPr="00033A2C" w:rsidRDefault="0094336F" w:rsidP="0094336F">
      <w:pPr>
        <w:pStyle w:val="Default"/>
        <w:numPr>
          <w:ilvl w:val="0"/>
          <w:numId w:val="8"/>
        </w:numPr>
        <w:spacing w:after="18"/>
        <w:rPr>
          <w:rFonts w:ascii="Segoe UI" w:hAnsi="Segoe UI" w:cs="Segoe UI"/>
          <w:sz w:val="20"/>
          <w:szCs w:val="20"/>
        </w:rPr>
      </w:pPr>
      <w:r w:rsidRPr="00033A2C">
        <w:rPr>
          <w:rFonts w:ascii="Segoe UI" w:hAnsi="Segoe UI" w:cs="Segoe UI"/>
          <w:sz w:val="20"/>
          <w:szCs w:val="20"/>
        </w:rPr>
        <w:t xml:space="preserve">other specific actions. </w:t>
      </w:r>
    </w:p>
    <w:p w14:paraId="7C178FEF" w14:textId="77777777" w:rsidR="0094336F" w:rsidRPr="007555DA" w:rsidRDefault="0094336F" w:rsidP="0094336F">
      <w:pPr>
        <w:pStyle w:val="Default"/>
        <w:rPr>
          <w:rFonts w:ascii="Segoe UI" w:hAnsi="Segoe UI" w:cs="Segoe UI"/>
          <w:color w:val="auto"/>
          <w:sz w:val="20"/>
          <w:szCs w:val="20"/>
        </w:rPr>
      </w:pPr>
    </w:p>
    <w:p w14:paraId="2EF9CA19" w14:textId="77777777" w:rsidR="0094336F" w:rsidRPr="007555DA" w:rsidRDefault="0094336F" w:rsidP="0094336F">
      <w:pPr>
        <w:pStyle w:val="Default"/>
        <w:rPr>
          <w:rFonts w:ascii="Segoe UI" w:hAnsi="Segoe UI" w:cs="Segoe UI"/>
          <w:color w:val="auto"/>
          <w:sz w:val="20"/>
          <w:szCs w:val="20"/>
        </w:rPr>
      </w:pPr>
      <w:r w:rsidRPr="007555DA">
        <w:rPr>
          <w:rFonts w:ascii="Segoe UI" w:hAnsi="Segoe UI" w:cs="Segoe UI"/>
          <w:color w:val="auto"/>
          <w:sz w:val="20"/>
          <w:szCs w:val="20"/>
        </w:rPr>
        <w:t xml:space="preserve">Findings that inappropriately delay, restrict, or limit a member’s access to required medication and/or services are considered significant findings that would require immediate corrective action in order to mitigate impact to the member. Immediate corrective action is defined as mitigation within two calendar days. Findings that do not have an immediate impact on the member’s ability to request or receive medications and/or services but are still significant would require corrective action within 60 days. Findings that are limited in scope, less significant, but require attention to ensure any member impact is resolved or to prevent further noncompliance would be considered an observation with corrective action required, again requiring action within 60 days. Lastly, any findings that are insignificant and represent an anomaly but still are documented for compliance purposes are considered an observation and do not require corrective action. </w:t>
      </w:r>
    </w:p>
    <w:p w14:paraId="3FCAE7BD" w14:textId="77777777" w:rsidR="0094336F" w:rsidRPr="007555DA" w:rsidRDefault="0094336F" w:rsidP="0094336F">
      <w:pPr>
        <w:pStyle w:val="Default"/>
        <w:rPr>
          <w:rFonts w:ascii="Segoe UI" w:hAnsi="Segoe UI" w:cs="Segoe UI"/>
          <w:color w:val="auto"/>
          <w:sz w:val="20"/>
          <w:szCs w:val="20"/>
        </w:rPr>
      </w:pPr>
    </w:p>
    <w:p w14:paraId="66292283"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 xml:space="preserve">Due consideration shall be given to using a quality improvement approach as part of such corrective action plans. All </w:t>
      </w:r>
      <w:r>
        <w:rPr>
          <w:rFonts w:ascii="Segoe UI" w:hAnsi="Segoe UI" w:cs="Segoe UI"/>
          <w:sz w:val="20"/>
          <w:szCs w:val="20"/>
        </w:rPr>
        <w:t xml:space="preserve">Medicare </w:t>
      </w:r>
      <w:r w:rsidRPr="00033A2C">
        <w:rPr>
          <w:rFonts w:ascii="Segoe UI" w:hAnsi="Segoe UI" w:cs="Segoe UI"/>
          <w:sz w:val="20"/>
          <w:szCs w:val="20"/>
        </w:rPr>
        <w:t xml:space="preserve">Part C </w:t>
      </w:r>
      <w:r>
        <w:rPr>
          <w:rFonts w:ascii="Segoe UI" w:hAnsi="Segoe UI" w:cs="Segoe UI"/>
          <w:sz w:val="20"/>
          <w:szCs w:val="20"/>
        </w:rPr>
        <w:t>and</w:t>
      </w:r>
      <w:r w:rsidRPr="00033A2C">
        <w:rPr>
          <w:rFonts w:ascii="Segoe UI" w:hAnsi="Segoe UI" w:cs="Segoe UI"/>
          <w:sz w:val="20"/>
          <w:szCs w:val="20"/>
        </w:rPr>
        <w:t xml:space="preserve"> D F</w:t>
      </w:r>
      <w:r>
        <w:rPr>
          <w:rFonts w:ascii="Segoe UI" w:hAnsi="Segoe UI" w:cs="Segoe UI"/>
          <w:sz w:val="20"/>
          <w:szCs w:val="20"/>
        </w:rPr>
        <w:t>WA</w:t>
      </w:r>
      <w:r w:rsidRPr="00033A2C">
        <w:rPr>
          <w:rFonts w:ascii="Segoe UI" w:hAnsi="Segoe UI" w:cs="Segoe UI"/>
          <w:sz w:val="20"/>
          <w:szCs w:val="20"/>
        </w:rPr>
        <w:t xml:space="preserve"> cases will be referred to the </w:t>
      </w:r>
      <w:r>
        <w:rPr>
          <w:rFonts w:ascii="Segoe UI" w:hAnsi="Segoe UI" w:cs="Segoe UI"/>
          <w:sz w:val="20"/>
          <w:szCs w:val="20"/>
        </w:rPr>
        <w:t>I-</w:t>
      </w:r>
      <w:r w:rsidRPr="00033A2C">
        <w:rPr>
          <w:rFonts w:ascii="Segoe UI" w:hAnsi="Segoe UI" w:cs="Segoe UI"/>
          <w:sz w:val="20"/>
          <w:szCs w:val="20"/>
        </w:rPr>
        <w:t xml:space="preserve">MEDIC, </w:t>
      </w:r>
      <w:r>
        <w:rPr>
          <w:rFonts w:ascii="Segoe UI" w:hAnsi="Segoe UI" w:cs="Segoe UI"/>
          <w:sz w:val="20"/>
          <w:szCs w:val="20"/>
        </w:rPr>
        <w:t xml:space="preserve">CMS </w:t>
      </w:r>
      <w:r w:rsidRPr="00033A2C">
        <w:rPr>
          <w:rFonts w:ascii="Segoe UI" w:hAnsi="Segoe UI" w:cs="Segoe UI"/>
          <w:sz w:val="20"/>
          <w:szCs w:val="20"/>
        </w:rPr>
        <w:t xml:space="preserve">Regional Office, the OIG, or law enforcement in a timely manner.  </w:t>
      </w:r>
    </w:p>
    <w:p w14:paraId="531DE829" w14:textId="77777777" w:rsidR="0094336F" w:rsidRPr="00033A2C" w:rsidRDefault="0094336F" w:rsidP="0094336F">
      <w:pPr>
        <w:pStyle w:val="Default"/>
        <w:rPr>
          <w:rFonts w:ascii="Segoe UI" w:hAnsi="Segoe UI" w:cs="Segoe UI"/>
          <w:sz w:val="20"/>
          <w:szCs w:val="20"/>
        </w:rPr>
      </w:pPr>
    </w:p>
    <w:p w14:paraId="3D604E4D" w14:textId="77777777" w:rsidR="0094336F" w:rsidRPr="006E1139" w:rsidRDefault="0094336F" w:rsidP="0094336F">
      <w:pPr>
        <w:pStyle w:val="Default"/>
        <w:rPr>
          <w:rFonts w:ascii="Segoe UI" w:hAnsi="Segoe UI" w:cs="Segoe UI"/>
          <w:color w:val="auto"/>
          <w:sz w:val="20"/>
          <w:szCs w:val="20"/>
        </w:rPr>
      </w:pPr>
      <w:r w:rsidRPr="00033A2C">
        <w:rPr>
          <w:rFonts w:ascii="Segoe UI" w:hAnsi="Segoe UI" w:cs="Segoe UI"/>
          <w:sz w:val="20"/>
          <w:szCs w:val="20"/>
        </w:rPr>
        <w:t xml:space="preserve">Cases that </w:t>
      </w:r>
      <w:r w:rsidRPr="006E1139">
        <w:rPr>
          <w:rFonts w:ascii="Segoe UI" w:hAnsi="Segoe UI" w:cs="Segoe UI"/>
          <w:color w:val="auto"/>
          <w:sz w:val="20"/>
          <w:szCs w:val="20"/>
        </w:rPr>
        <w:t>should be referred include:</w:t>
      </w:r>
    </w:p>
    <w:p w14:paraId="32A8BEE8" w14:textId="77777777" w:rsidR="0094336F" w:rsidRPr="007555DA" w:rsidRDefault="0094336F" w:rsidP="0094336F">
      <w:pPr>
        <w:pStyle w:val="Default"/>
        <w:numPr>
          <w:ilvl w:val="0"/>
          <w:numId w:val="9"/>
        </w:numPr>
        <w:rPr>
          <w:rFonts w:ascii="Segoe UI" w:hAnsi="Segoe UI" w:cs="Segoe UI"/>
          <w:color w:val="auto"/>
          <w:sz w:val="20"/>
          <w:szCs w:val="20"/>
        </w:rPr>
      </w:pPr>
      <w:r w:rsidRPr="006E1139">
        <w:rPr>
          <w:rFonts w:ascii="Segoe UI" w:hAnsi="Segoe UI" w:cs="Segoe UI"/>
          <w:color w:val="auto"/>
          <w:sz w:val="20"/>
          <w:szCs w:val="20"/>
        </w:rPr>
        <w:t xml:space="preserve">Substantiated or suspicious FWA activities, including, but not limited to, allegations that a provider or supplier engaged in a pattern of improper billing, submitted improper claims with suspected knowledge of their falsity, submitted improper claims with reckless disregard or deliberate </w:t>
      </w:r>
      <w:r w:rsidRPr="007555DA">
        <w:rPr>
          <w:rFonts w:ascii="Segoe UI" w:hAnsi="Segoe UI" w:cs="Segoe UI"/>
          <w:color w:val="auto"/>
          <w:sz w:val="20"/>
          <w:szCs w:val="20"/>
        </w:rPr>
        <w:t>ignorance of their truth, or is the subject of a fraud hotline tip verified by further evidence.</w:t>
      </w:r>
    </w:p>
    <w:p w14:paraId="0EB0A972" w14:textId="77777777" w:rsidR="0094336F" w:rsidRPr="007555DA" w:rsidRDefault="0094336F" w:rsidP="0094336F">
      <w:pPr>
        <w:pStyle w:val="Default"/>
        <w:numPr>
          <w:ilvl w:val="0"/>
          <w:numId w:val="9"/>
        </w:numPr>
        <w:rPr>
          <w:rFonts w:ascii="Segoe UI" w:hAnsi="Segoe UI" w:cs="Segoe UI"/>
          <w:color w:val="auto"/>
          <w:sz w:val="20"/>
          <w:szCs w:val="20"/>
        </w:rPr>
      </w:pPr>
      <w:r w:rsidRPr="007555DA">
        <w:rPr>
          <w:rFonts w:ascii="Segoe UI" w:hAnsi="Segoe UI" w:cs="Segoe UI"/>
          <w:color w:val="auto"/>
          <w:sz w:val="20"/>
          <w:szCs w:val="20"/>
        </w:rPr>
        <w:t>schemes that present large financial risk to beneficiaries or federal health care programs</w:t>
      </w:r>
    </w:p>
    <w:p w14:paraId="2A6121C1" w14:textId="77777777" w:rsidR="0094336F" w:rsidRPr="007555DA" w:rsidRDefault="0094336F" w:rsidP="0094336F">
      <w:pPr>
        <w:pStyle w:val="Default"/>
        <w:numPr>
          <w:ilvl w:val="0"/>
          <w:numId w:val="9"/>
        </w:numPr>
        <w:spacing w:after="18"/>
        <w:rPr>
          <w:rFonts w:ascii="Segoe UI" w:hAnsi="Segoe UI" w:cs="Segoe UI"/>
          <w:color w:val="auto"/>
          <w:sz w:val="20"/>
          <w:szCs w:val="20"/>
        </w:rPr>
      </w:pPr>
      <w:r w:rsidRPr="007555DA">
        <w:rPr>
          <w:rFonts w:ascii="Segoe UI" w:hAnsi="Segoe UI" w:cs="Segoe UI"/>
          <w:color w:val="auto"/>
          <w:sz w:val="20"/>
          <w:szCs w:val="20"/>
        </w:rPr>
        <w:t xml:space="preserve">potential criminal, civil, or administrative law violations. </w:t>
      </w:r>
    </w:p>
    <w:p w14:paraId="6B58AA73" w14:textId="77777777" w:rsidR="0094336F" w:rsidRPr="00033A2C" w:rsidRDefault="0094336F" w:rsidP="0094336F">
      <w:pPr>
        <w:pStyle w:val="Default"/>
        <w:numPr>
          <w:ilvl w:val="0"/>
          <w:numId w:val="9"/>
        </w:numPr>
        <w:spacing w:after="18"/>
        <w:rPr>
          <w:rFonts w:ascii="Segoe UI" w:hAnsi="Segoe UI" w:cs="Segoe UI"/>
          <w:sz w:val="20"/>
          <w:szCs w:val="20"/>
        </w:rPr>
      </w:pPr>
      <w:r w:rsidRPr="007555DA">
        <w:rPr>
          <w:rFonts w:ascii="Segoe UI" w:hAnsi="Segoe UI" w:cs="Segoe UI"/>
          <w:color w:val="auto"/>
          <w:sz w:val="20"/>
          <w:szCs w:val="20"/>
        </w:rPr>
        <w:t xml:space="preserve">allegations that extend beyond one plan, involving multiple health plans, multiple </w:t>
      </w:r>
      <w:r w:rsidRPr="00033A2C">
        <w:rPr>
          <w:rFonts w:ascii="Segoe UI" w:hAnsi="Segoe UI" w:cs="Segoe UI"/>
          <w:sz w:val="20"/>
          <w:szCs w:val="20"/>
        </w:rPr>
        <w:t xml:space="preserve">states, or widespread schemes. </w:t>
      </w:r>
    </w:p>
    <w:p w14:paraId="438FE69A" w14:textId="77777777" w:rsidR="0094336F" w:rsidRPr="00033A2C" w:rsidRDefault="0094336F" w:rsidP="0094336F">
      <w:pPr>
        <w:pStyle w:val="Default"/>
        <w:numPr>
          <w:ilvl w:val="0"/>
          <w:numId w:val="9"/>
        </w:numPr>
        <w:spacing w:after="18"/>
        <w:rPr>
          <w:rFonts w:ascii="Segoe UI" w:hAnsi="Segoe UI" w:cs="Segoe UI"/>
          <w:sz w:val="20"/>
          <w:szCs w:val="20"/>
        </w:rPr>
      </w:pPr>
      <w:r w:rsidRPr="00033A2C">
        <w:rPr>
          <w:rFonts w:ascii="Segoe UI" w:hAnsi="Segoe UI" w:cs="Segoe UI"/>
          <w:sz w:val="20"/>
          <w:szCs w:val="20"/>
        </w:rPr>
        <w:t>allegations that involve known patterns of fraud that may have already come to attention of law enforcement (</w:t>
      </w:r>
      <w:proofErr w:type="gramStart"/>
      <w:r w:rsidRPr="00033A2C">
        <w:rPr>
          <w:rFonts w:ascii="Segoe UI" w:hAnsi="Segoe UI" w:cs="Segoe UI"/>
          <w:sz w:val="20"/>
          <w:szCs w:val="20"/>
        </w:rPr>
        <w:t>e.g.</w:t>
      </w:r>
      <w:proofErr w:type="gramEnd"/>
      <w:r w:rsidRPr="00033A2C">
        <w:rPr>
          <w:rFonts w:ascii="Segoe UI" w:hAnsi="Segoe UI" w:cs="Segoe UI"/>
          <w:sz w:val="20"/>
          <w:szCs w:val="20"/>
        </w:rPr>
        <w:t xml:space="preserve"> fraud alerts). </w:t>
      </w:r>
    </w:p>
    <w:p w14:paraId="028E8049" w14:textId="77777777" w:rsidR="0094336F" w:rsidRPr="00033A2C" w:rsidRDefault="0094336F" w:rsidP="0094336F">
      <w:pPr>
        <w:pStyle w:val="Default"/>
        <w:numPr>
          <w:ilvl w:val="0"/>
          <w:numId w:val="9"/>
        </w:numPr>
        <w:spacing w:after="18"/>
        <w:rPr>
          <w:rFonts w:ascii="Segoe UI" w:hAnsi="Segoe UI" w:cs="Segoe UI"/>
          <w:sz w:val="20"/>
          <w:szCs w:val="20"/>
        </w:rPr>
      </w:pPr>
      <w:r w:rsidRPr="00033A2C">
        <w:rPr>
          <w:rFonts w:ascii="Segoe UI" w:hAnsi="Segoe UI" w:cs="Segoe UI"/>
          <w:sz w:val="20"/>
          <w:szCs w:val="20"/>
        </w:rPr>
        <w:t xml:space="preserve">patterns of fraud or abuse that threatens the life or well-being of beneficiaries. </w:t>
      </w:r>
    </w:p>
    <w:p w14:paraId="2FDC17EF" w14:textId="77777777" w:rsidR="0094336F" w:rsidRPr="00033A2C" w:rsidRDefault="0094336F" w:rsidP="0094336F">
      <w:pPr>
        <w:pStyle w:val="Default"/>
        <w:numPr>
          <w:ilvl w:val="0"/>
          <w:numId w:val="9"/>
        </w:numPr>
        <w:spacing w:after="18"/>
        <w:rPr>
          <w:rFonts w:ascii="Segoe UI" w:hAnsi="Segoe UI" w:cs="Segoe UI"/>
          <w:sz w:val="20"/>
          <w:szCs w:val="20"/>
        </w:rPr>
      </w:pPr>
      <w:r w:rsidRPr="00033A2C">
        <w:rPr>
          <w:rFonts w:ascii="Segoe UI" w:hAnsi="Segoe UI" w:cs="Segoe UI"/>
          <w:sz w:val="20"/>
          <w:szCs w:val="20"/>
        </w:rPr>
        <w:t>any cases that the plan feels MEDIC input would be beneficial.</w:t>
      </w:r>
    </w:p>
    <w:p w14:paraId="298EF422" w14:textId="77777777" w:rsidR="0094336F" w:rsidRDefault="0094336F" w:rsidP="0094336F">
      <w:pPr>
        <w:pStyle w:val="Default"/>
        <w:rPr>
          <w:rFonts w:ascii="Segoe UI" w:hAnsi="Segoe UI" w:cs="Segoe UI"/>
          <w:sz w:val="20"/>
          <w:szCs w:val="20"/>
        </w:rPr>
      </w:pPr>
    </w:p>
    <w:p w14:paraId="6C3891B1" w14:textId="77777777" w:rsidR="0094336F" w:rsidRPr="006E1139" w:rsidRDefault="0094336F" w:rsidP="0094336F">
      <w:pPr>
        <w:pStyle w:val="Default"/>
        <w:rPr>
          <w:rFonts w:ascii="Segoe UI" w:hAnsi="Segoe UI" w:cs="Segoe UI"/>
          <w:color w:val="auto"/>
          <w:sz w:val="20"/>
          <w:szCs w:val="20"/>
        </w:rPr>
      </w:pPr>
      <w:r w:rsidRPr="006E1139">
        <w:rPr>
          <w:rFonts w:ascii="Segoe UI" w:hAnsi="Segoe UI" w:cs="Segoe UI"/>
          <w:color w:val="auto"/>
          <w:sz w:val="20"/>
          <w:szCs w:val="20"/>
        </w:rPr>
        <w:t xml:space="preserve">Cases that should </w:t>
      </w:r>
      <w:r w:rsidRPr="006E1139">
        <w:rPr>
          <w:rFonts w:ascii="Segoe UI" w:hAnsi="Segoe UI" w:cs="Segoe UI"/>
          <w:i/>
          <w:iCs/>
          <w:color w:val="auto"/>
          <w:sz w:val="20"/>
          <w:szCs w:val="20"/>
        </w:rPr>
        <w:t>not</w:t>
      </w:r>
      <w:r w:rsidRPr="006E1139">
        <w:rPr>
          <w:rFonts w:ascii="Segoe UI" w:hAnsi="Segoe UI" w:cs="Segoe UI"/>
          <w:color w:val="auto"/>
          <w:sz w:val="20"/>
          <w:szCs w:val="20"/>
        </w:rPr>
        <w:t xml:space="preserve"> be referred include:</w:t>
      </w:r>
    </w:p>
    <w:p w14:paraId="513A2F3B" w14:textId="77777777" w:rsidR="0094336F" w:rsidRPr="006E1139" w:rsidRDefault="0094336F" w:rsidP="0094336F">
      <w:pPr>
        <w:pStyle w:val="Default"/>
        <w:numPr>
          <w:ilvl w:val="0"/>
          <w:numId w:val="11"/>
        </w:numPr>
        <w:rPr>
          <w:rFonts w:ascii="Segoe UI" w:hAnsi="Segoe UI" w:cs="Segoe UI"/>
          <w:color w:val="auto"/>
          <w:sz w:val="20"/>
          <w:szCs w:val="20"/>
        </w:rPr>
      </w:pPr>
      <w:r w:rsidRPr="006E1139">
        <w:rPr>
          <w:rFonts w:ascii="Segoe UI" w:hAnsi="Segoe UI" w:cs="Segoe UI"/>
          <w:color w:val="auto"/>
          <w:sz w:val="20"/>
          <w:szCs w:val="20"/>
        </w:rPr>
        <w:t>Subjects that have already been arrested, charged, or indicted by law enforcement, unless it is for a different allegation.</w:t>
      </w:r>
    </w:p>
    <w:p w14:paraId="4032D50F" w14:textId="77777777" w:rsidR="0094336F" w:rsidRPr="006E1139" w:rsidRDefault="0094336F" w:rsidP="0094336F">
      <w:pPr>
        <w:pStyle w:val="Default"/>
        <w:numPr>
          <w:ilvl w:val="0"/>
          <w:numId w:val="11"/>
        </w:numPr>
        <w:rPr>
          <w:rFonts w:ascii="Segoe UI" w:hAnsi="Segoe UI" w:cs="Segoe UI"/>
          <w:color w:val="auto"/>
          <w:sz w:val="20"/>
          <w:szCs w:val="20"/>
        </w:rPr>
      </w:pPr>
      <w:r w:rsidRPr="006E1139">
        <w:rPr>
          <w:rFonts w:ascii="Segoe UI" w:hAnsi="Segoe UI" w:cs="Segoe UI"/>
          <w:color w:val="auto"/>
          <w:sz w:val="20"/>
          <w:szCs w:val="20"/>
        </w:rPr>
        <w:t>Submissions that simply state what the HPMS fraud alert findings are with nothing additional provided.</w:t>
      </w:r>
    </w:p>
    <w:p w14:paraId="79246621" w14:textId="77777777" w:rsidR="0094336F" w:rsidRPr="006E1139" w:rsidRDefault="0094336F" w:rsidP="0094336F">
      <w:pPr>
        <w:pStyle w:val="Default"/>
        <w:rPr>
          <w:rFonts w:ascii="Segoe UI" w:hAnsi="Segoe UI" w:cs="Segoe UI"/>
          <w:color w:val="auto"/>
          <w:sz w:val="20"/>
          <w:szCs w:val="20"/>
        </w:rPr>
      </w:pPr>
    </w:p>
    <w:p w14:paraId="046EFD59" w14:textId="77777777" w:rsidR="0094336F" w:rsidRPr="006E1139" w:rsidRDefault="0094336F" w:rsidP="0094336F">
      <w:pPr>
        <w:pStyle w:val="Default"/>
        <w:rPr>
          <w:rFonts w:ascii="Segoe UI" w:hAnsi="Segoe UI" w:cs="Segoe UI"/>
          <w:color w:val="auto"/>
          <w:sz w:val="20"/>
          <w:szCs w:val="20"/>
        </w:rPr>
      </w:pPr>
      <w:r w:rsidRPr="006E1139">
        <w:rPr>
          <w:rFonts w:ascii="Segoe UI" w:hAnsi="Segoe UI" w:cs="Segoe UI"/>
          <w:color w:val="auto"/>
          <w:sz w:val="20"/>
          <w:szCs w:val="20"/>
        </w:rPr>
        <w:lastRenderedPageBreak/>
        <w:t xml:space="preserve">Referring cases to the I-MEDIC can be done at any time via the Program Integrity Portal in the CMS Health Plan Management System (HPMS). Upon submission, the I-MEDIC has the ability to accept or reject a submission. When reporting a case via the Program Integrity Portal, the following information must be included: </w:t>
      </w:r>
    </w:p>
    <w:p w14:paraId="30F9EE77" w14:textId="77777777" w:rsidR="0094336F" w:rsidRPr="006E1139" w:rsidRDefault="0094336F" w:rsidP="0094336F">
      <w:pPr>
        <w:pStyle w:val="Default"/>
        <w:numPr>
          <w:ilvl w:val="0"/>
          <w:numId w:val="10"/>
        </w:numPr>
        <w:rPr>
          <w:rFonts w:ascii="Segoe UI" w:hAnsi="Segoe UI" w:cs="Segoe UI"/>
          <w:color w:val="auto"/>
          <w:sz w:val="20"/>
          <w:szCs w:val="20"/>
        </w:rPr>
      </w:pPr>
      <w:r w:rsidRPr="006E1139">
        <w:rPr>
          <w:rFonts w:ascii="Segoe UI" w:hAnsi="Segoe UI" w:cs="Segoe UI"/>
          <w:color w:val="auto"/>
          <w:sz w:val="20"/>
          <w:szCs w:val="20"/>
        </w:rPr>
        <w:t>Complainant contact information</w:t>
      </w:r>
    </w:p>
    <w:p w14:paraId="7F3E085E" w14:textId="77777777" w:rsidR="0094336F" w:rsidRPr="006E1139" w:rsidRDefault="0094336F" w:rsidP="0094336F">
      <w:pPr>
        <w:pStyle w:val="Default"/>
        <w:numPr>
          <w:ilvl w:val="0"/>
          <w:numId w:val="10"/>
        </w:numPr>
        <w:rPr>
          <w:rFonts w:ascii="Segoe UI" w:hAnsi="Segoe UI" w:cs="Segoe UI"/>
          <w:color w:val="auto"/>
          <w:sz w:val="20"/>
          <w:szCs w:val="20"/>
        </w:rPr>
      </w:pPr>
      <w:r w:rsidRPr="006E1139">
        <w:rPr>
          <w:rFonts w:ascii="Segoe UI" w:hAnsi="Segoe UI" w:cs="Segoe UI"/>
          <w:color w:val="auto"/>
          <w:sz w:val="20"/>
          <w:szCs w:val="20"/>
        </w:rPr>
        <w:t>Complete and accurate beneficiary information</w:t>
      </w:r>
    </w:p>
    <w:p w14:paraId="09D406BF" w14:textId="77777777" w:rsidR="0094336F" w:rsidRPr="006E1139" w:rsidRDefault="0094336F" w:rsidP="0094336F">
      <w:pPr>
        <w:pStyle w:val="Default"/>
        <w:numPr>
          <w:ilvl w:val="0"/>
          <w:numId w:val="10"/>
        </w:numPr>
        <w:rPr>
          <w:rFonts w:ascii="Segoe UI" w:hAnsi="Segoe UI" w:cs="Segoe UI"/>
          <w:color w:val="auto"/>
          <w:sz w:val="20"/>
          <w:szCs w:val="20"/>
        </w:rPr>
      </w:pPr>
      <w:r w:rsidRPr="006E1139">
        <w:rPr>
          <w:rFonts w:ascii="Segoe UI" w:hAnsi="Segoe UI" w:cs="Segoe UI"/>
          <w:color w:val="auto"/>
          <w:sz w:val="20"/>
          <w:szCs w:val="20"/>
        </w:rPr>
        <w:t>Complete and accurate subject / suspect of fraud information and identifiers</w:t>
      </w:r>
    </w:p>
    <w:p w14:paraId="261385F6" w14:textId="77777777" w:rsidR="0094336F" w:rsidRPr="006E1139" w:rsidRDefault="0094336F" w:rsidP="0094336F">
      <w:pPr>
        <w:pStyle w:val="Default"/>
        <w:numPr>
          <w:ilvl w:val="0"/>
          <w:numId w:val="10"/>
        </w:numPr>
        <w:rPr>
          <w:rFonts w:ascii="Segoe UI" w:hAnsi="Segoe UI" w:cs="Segoe UI"/>
          <w:color w:val="auto"/>
          <w:sz w:val="20"/>
          <w:szCs w:val="20"/>
        </w:rPr>
      </w:pPr>
      <w:r w:rsidRPr="006E1139">
        <w:rPr>
          <w:rFonts w:ascii="Segoe UI" w:hAnsi="Segoe UI" w:cs="Segoe UI"/>
          <w:color w:val="auto"/>
          <w:sz w:val="20"/>
          <w:szCs w:val="20"/>
        </w:rPr>
        <w:t>Period of review and Medicare program exposure</w:t>
      </w:r>
    </w:p>
    <w:p w14:paraId="5606E729" w14:textId="77777777" w:rsidR="0094336F" w:rsidRPr="006E1139" w:rsidRDefault="0094336F" w:rsidP="0094336F">
      <w:pPr>
        <w:pStyle w:val="Default"/>
        <w:numPr>
          <w:ilvl w:val="0"/>
          <w:numId w:val="10"/>
        </w:numPr>
        <w:rPr>
          <w:rFonts w:ascii="Segoe UI" w:hAnsi="Segoe UI" w:cs="Segoe UI"/>
          <w:color w:val="auto"/>
          <w:sz w:val="20"/>
          <w:szCs w:val="20"/>
        </w:rPr>
      </w:pPr>
      <w:r w:rsidRPr="006E1139">
        <w:rPr>
          <w:rFonts w:ascii="Segoe UI" w:hAnsi="Segoe UI" w:cs="Segoe UI"/>
          <w:color w:val="auto"/>
          <w:sz w:val="20"/>
          <w:szCs w:val="20"/>
        </w:rPr>
        <w:t>Detailed description of findings / allegations/ issues (CPT codes, states involved, dates, names of individuals and businesses involved, contact information for victims involved, etc.)</w:t>
      </w:r>
    </w:p>
    <w:p w14:paraId="61DF03F5" w14:textId="77777777" w:rsidR="0094336F" w:rsidRPr="006E1139" w:rsidRDefault="0094336F" w:rsidP="0094336F">
      <w:pPr>
        <w:pStyle w:val="Default"/>
        <w:spacing w:after="18"/>
        <w:rPr>
          <w:rFonts w:ascii="Segoe UI" w:hAnsi="Segoe UI" w:cs="Segoe UI"/>
          <w:strike/>
          <w:color w:val="FF0000"/>
          <w:sz w:val="20"/>
          <w:szCs w:val="20"/>
        </w:rPr>
      </w:pPr>
    </w:p>
    <w:p w14:paraId="43A7B5B4" w14:textId="77777777" w:rsidR="0094336F" w:rsidRPr="00033A2C" w:rsidRDefault="0094336F" w:rsidP="0094336F">
      <w:pPr>
        <w:pStyle w:val="Default"/>
        <w:rPr>
          <w:rFonts w:ascii="Segoe UI" w:hAnsi="Segoe UI" w:cs="Segoe UI"/>
          <w:bCs/>
          <w:sz w:val="20"/>
          <w:szCs w:val="20"/>
        </w:rPr>
      </w:pPr>
      <w:r w:rsidRPr="00033A2C">
        <w:rPr>
          <w:rFonts w:ascii="Segoe UI" w:hAnsi="Segoe UI" w:cs="Segoe UI"/>
          <w:bCs/>
          <w:sz w:val="20"/>
          <w:szCs w:val="20"/>
        </w:rPr>
        <w:t>If the incident is concerning a Medicaid member, information must be reported to the DHS Office of the Inspector General (OIG) using the following methods:</w:t>
      </w:r>
    </w:p>
    <w:p w14:paraId="13F2A338" w14:textId="77777777" w:rsidR="0094336F" w:rsidRPr="00033A2C" w:rsidRDefault="0094336F" w:rsidP="0094336F">
      <w:pPr>
        <w:pStyle w:val="Default"/>
        <w:numPr>
          <w:ilvl w:val="0"/>
          <w:numId w:val="13"/>
        </w:numPr>
        <w:rPr>
          <w:rFonts w:ascii="Segoe UI" w:hAnsi="Segoe UI" w:cs="Segoe UI"/>
          <w:bCs/>
          <w:sz w:val="20"/>
          <w:szCs w:val="20"/>
        </w:rPr>
      </w:pPr>
      <w:r w:rsidRPr="00033A2C">
        <w:rPr>
          <w:rFonts w:ascii="Segoe UI" w:hAnsi="Segoe UI" w:cs="Segoe UI"/>
          <w:bCs/>
          <w:sz w:val="20"/>
          <w:szCs w:val="20"/>
        </w:rPr>
        <w:t>Toll-free hotline: (877) 865-3432</w:t>
      </w:r>
    </w:p>
    <w:p w14:paraId="5E6C533D" w14:textId="77777777" w:rsidR="0094336F" w:rsidRPr="00033A2C" w:rsidRDefault="0094336F" w:rsidP="0094336F">
      <w:pPr>
        <w:pStyle w:val="Default"/>
        <w:numPr>
          <w:ilvl w:val="0"/>
          <w:numId w:val="13"/>
        </w:numPr>
        <w:rPr>
          <w:rFonts w:ascii="Segoe UI" w:hAnsi="Segoe UI" w:cs="Segoe UI"/>
          <w:bCs/>
          <w:sz w:val="20"/>
          <w:szCs w:val="20"/>
        </w:rPr>
      </w:pPr>
      <w:r w:rsidRPr="00033A2C">
        <w:rPr>
          <w:rFonts w:ascii="Segoe UI" w:hAnsi="Segoe UI" w:cs="Segoe UI"/>
          <w:bCs/>
          <w:sz w:val="20"/>
          <w:szCs w:val="20"/>
        </w:rPr>
        <w:t xml:space="preserve">Online portal: </w:t>
      </w:r>
      <w:hyperlink r:id="rId13" w:history="1">
        <w:r w:rsidRPr="00033A2C">
          <w:rPr>
            <w:rStyle w:val="Hyperlink"/>
            <w:rFonts w:ascii="Segoe UI" w:hAnsi="Segoe UI" w:cs="Segoe UI"/>
            <w:sz w:val="20"/>
            <w:szCs w:val="20"/>
          </w:rPr>
          <w:t>https://www.reportfraud.wisconsin.gov/rptfrd/default.aspx</w:t>
        </w:r>
      </w:hyperlink>
    </w:p>
    <w:p w14:paraId="7CC23854" w14:textId="77777777" w:rsidR="0094336F" w:rsidRPr="00033A2C" w:rsidRDefault="0094336F" w:rsidP="0094336F">
      <w:pPr>
        <w:pStyle w:val="Default"/>
        <w:rPr>
          <w:rFonts w:ascii="Segoe UI" w:hAnsi="Segoe UI" w:cs="Segoe UI"/>
          <w:b/>
          <w:bCs/>
          <w:sz w:val="20"/>
          <w:szCs w:val="20"/>
        </w:rPr>
      </w:pPr>
      <w:r w:rsidRPr="00033A2C">
        <w:rPr>
          <w:rFonts w:ascii="Segoe UI" w:hAnsi="Segoe UI" w:cs="Segoe UI"/>
          <w:bCs/>
          <w:sz w:val="20"/>
          <w:szCs w:val="20"/>
        </w:rPr>
        <w:t xml:space="preserve">Reports of fraud, waste or abuse to the OIG should not be made anonymously and may be subject to open records laws. </w:t>
      </w:r>
    </w:p>
    <w:p w14:paraId="41F7E14E" w14:textId="77777777" w:rsidR="0094336F" w:rsidRPr="00033A2C" w:rsidRDefault="0094336F" w:rsidP="0094336F">
      <w:pPr>
        <w:pStyle w:val="Default"/>
        <w:rPr>
          <w:rFonts w:ascii="Segoe UI" w:hAnsi="Segoe UI" w:cs="Segoe UI"/>
          <w:b/>
          <w:bCs/>
          <w:sz w:val="20"/>
          <w:szCs w:val="20"/>
        </w:rPr>
      </w:pPr>
    </w:p>
    <w:p w14:paraId="5D8B51AA" w14:textId="77777777" w:rsidR="0094336F" w:rsidRPr="007555DA" w:rsidRDefault="0094336F" w:rsidP="0094336F">
      <w:pPr>
        <w:pStyle w:val="Default"/>
        <w:rPr>
          <w:rFonts w:ascii="Segoe UI" w:hAnsi="Segoe UI" w:cs="Segoe UI"/>
          <w:sz w:val="20"/>
          <w:szCs w:val="20"/>
        </w:rPr>
      </w:pPr>
      <w:r w:rsidRPr="00033A2C">
        <w:rPr>
          <w:rFonts w:ascii="Segoe UI" w:hAnsi="Segoe UI" w:cs="Segoe UI"/>
          <w:b/>
          <w:bCs/>
          <w:sz w:val="20"/>
          <w:szCs w:val="20"/>
        </w:rPr>
        <w:t xml:space="preserve">Reporting Compliance Issues to Compliance Committees: </w:t>
      </w:r>
    </w:p>
    <w:p w14:paraId="44C8C8EA" w14:textId="15C6F729" w:rsidR="0094336F" w:rsidRPr="00033A2C" w:rsidRDefault="0094336F" w:rsidP="0094336F">
      <w:pPr>
        <w:pStyle w:val="Default"/>
        <w:spacing w:after="18"/>
        <w:rPr>
          <w:rFonts w:ascii="Segoe UI" w:hAnsi="Segoe UI" w:cs="Segoe UI"/>
          <w:sz w:val="20"/>
          <w:szCs w:val="20"/>
        </w:rPr>
      </w:pPr>
      <w:r w:rsidRPr="00033A2C">
        <w:rPr>
          <w:rFonts w:ascii="Segoe UI" w:hAnsi="Segoe UI" w:cs="Segoe UI"/>
          <w:sz w:val="20"/>
          <w:szCs w:val="20"/>
        </w:rPr>
        <w:t xml:space="preserve">The Compliance Officer(s) shall provide the Compliance Issues Log </w:t>
      </w:r>
      <w:r>
        <w:rPr>
          <w:rFonts w:ascii="Segoe UI" w:hAnsi="Segoe UI" w:cs="Segoe UI"/>
          <w:sz w:val="20"/>
          <w:szCs w:val="20"/>
        </w:rPr>
        <w:t>maintain</w:t>
      </w:r>
      <w:r w:rsidRPr="00033A2C">
        <w:rPr>
          <w:rFonts w:ascii="Segoe UI" w:hAnsi="Segoe UI" w:cs="Segoe UI"/>
          <w:sz w:val="20"/>
          <w:szCs w:val="20"/>
        </w:rPr>
        <w:t xml:space="preserve">ed by </w:t>
      </w:r>
      <w:r>
        <w:rPr>
          <w:rFonts w:ascii="Segoe UI" w:hAnsi="Segoe UI" w:cs="Segoe UI"/>
          <w:sz w:val="20"/>
          <w:szCs w:val="20"/>
        </w:rPr>
        <w:t>Compliance</w:t>
      </w:r>
      <w:r w:rsidRPr="00033A2C">
        <w:rPr>
          <w:rFonts w:ascii="Segoe UI" w:hAnsi="Segoe UI" w:cs="Segoe UI"/>
          <w:sz w:val="20"/>
          <w:szCs w:val="20"/>
        </w:rPr>
        <w:t xml:space="preserve"> during that calendar year. The Compliance Issues Log shall be reported to the Compliance Committee </w:t>
      </w:r>
      <w:r w:rsidR="0030712B">
        <w:rPr>
          <w:rFonts w:ascii="Segoe UI" w:hAnsi="Segoe UI" w:cs="Segoe UI"/>
          <w:sz w:val="20"/>
          <w:szCs w:val="20"/>
        </w:rPr>
        <w:t xml:space="preserve">at least </w:t>
      </w:r>
      <w:r w:rsidRPr="00033A2C">
        <w:rPr>
          <w:rFonts w:ascii="Segoe UI" w:hAnsi="Segoe UI" w:cs="Segoe UI"/>
          <w:sz w:val="20"/>
          <w:szCs w:val="20"/>
        </w:rPr>
        <w:t xml:space="preserve">on a bi-annual basis. The Log includes: </w:t>
      </w:r>
    </w:p>
    <w:p w14:paraId="65D090E6" w14:textId="77777777" w:rsidR="0094336F" w:rsidRPr="00C445A2" w:rsidRDefault="0094336F" w:rsidP="0094336F">
      <w:pPr>
        <w:pStyle w:val="Default"/>
        <w:numPr>
          <w:ilvl w:val="0"/>
          <w:numId w:val="12"/>
        </w:numPr>
        <w:spacing w:after="18"/>
        <w:rPr>
          <w:rFonts w:ascii="Segoe UI" w:hAnsi="Segoe UI" w:cs="Segoe UI"/>
          <w:sz w:val="20"/>
          <w:szCs w:val="20"/>
        </w:rPr>
      </w:pPr>
      <w:r w:rsidRPr="00033A2C">
        <w:rPr>
          <w:rFonts w:ascii="Segoe UI" w:hAnsi="Segoe UI" w:cs="Segoe UI"/>
          <w:sz w:val="20"/>
          <w:szCs w:val="20"/>
        </w:rPr>
        <w:t xml:space="preserve">the date the compliance issue was reported </w:t>
      </w:r>
    </w:p>
    <w:p w14:paraId="0D53A3DF" w14:textId="77777777" w:rsidR="0094336F" w:rsidRPr="00033A2C" w:rsidRDefault="0094336F" w:rsidP="0094336F">
      <w:pPr>
        <w:pStyle w:val="Default"/>
        <w:numPr>
          <w:ilvl w:val="0"/>
          <w:numId w:val="12"/>
        </w:numPr>
        <w:spacing w:after="18"/>
        <w:rPr>
          <w:rFonts w:ascii="Segoe UI" w:hAnsi="Segoe UI" w:cs="Segoe UI"/>
          <w:sz w:val="20"/>
          <w:szCs w:val="20"/>
        </w:rPr>
      </w:pPr>
      <w:r w:rsidRPr="00033A2C">
        <w:rPr>
          <w:rFonts w:ascii="Segoe UI" w:hAnsi="Segoe UI" w:cs="Segoe UI"/>
          <w:sz w:val="20"/>
          <w:szCs w:val="20"/>
        </w:rPr>
        <w:t>a summary of the compliance issue</w:t>
      </w:r>
    </w:p>
    <w:p w14:paraId="5CC24D18" w14:textId="77777777" w:rsidR="0094336F" w:rsidRPr="00033A2C" w:rsidRDefault="0094336F" w:rsidP="0094336F">
      <w:pPr>
        <w:pStyle w:val="Default"/>
        <w:numPr>
          <w:ilvl w:val="0"/>
          <w:numId w:val="12"/>
        </w:numPr>
        <w:spacing w:after="18"/>
        <w:rPr>
          <w:rFonts w:ascii="Segoe UI" w:hAnsi="Segoe UI" w:cs="Segoe UI"/>
          <w:sz w:val="20"/>
          <w:szCs w:val="20"/>
        </w:rPr>
      </w:pPr>
      <w:r w:rsidRPr="00033A2C">
        <w:rPr>
          <w:rFonts w:ascii="Segoe UI" w:hAnsi="Segoe UI" w:cs="Segoe UI"/>
          <w:sz w:val="20"/>
          <w:szCs w:val="20"/>
        </w:rPr>
        <w:t xml:space="preserve">the current status of the compliance issue; and </w:t>
      </w:r>
    </w:p>
    <w:p w14:paraId="25147C92" w14:textId="77777777" w:rsidR="0094336F" w:rsidRPr="00033A2C" w:rsidRDefault="0094336F" w:rsidP="0094336F">
      <w:pPr>
        <w:pStyle w:val="Default"/>
        <w:numPr>
          <w:ilvl w:val="0"/>
          <w:numId w:val="12"/>
        </w:numPr>
        <w:spacing w:after="18"/>
        <w:rPr>
          <w:rFonts w:ascii="Segoe UI" w:hAnsi="Segoe UI" w:cs="Segoe UI"/>
          <w:sz w:val="20"/>
          <w:szCs w:val="20"/>
        </w:rPr>
      </w:pPr>
      <w:r w:rsidRPr="00033A2C">
        <w:rPr>
          <w:rFonts w:ascii="Segoe UI" w:hAnsi="Segoe UI" w:cs="Segoe UI"/>
          <w:sz w:val="20"/>
          <w:szCs w:val="20"/>
        </w:rPr>
        <w:t xml:space="preserve">any corrective actions that were taken. </w:t>
      </w:r>
    </w:p>
    <w:p w14:paraId="1DFBA144" w14:textId="77777777" w:rsidR="0094336F" w:rsidRPr="00033A2C" w:rsidRDefault="0094336F" w:rsidP="0094336F">
      <w:pPr>
        <w:pStyle w:val="Default"/>
        <w:rPr>
          <w:rFonts w:ascii="Segoe UI" w:hAnsi="Segoe UI" w:cs="Segoe UI"/>
          <w:sz w:val="20"/>
          <w:szCs w:val="20"/>
        </w:rPr>
      </w:pPr>
    </w:p>
    <w:p w14:paraId="59667855" w14:textId="77777777" w:rsidR="0094336F" w:rsidRPr="00033A2C" w:rsidRDefault="0094336F" w:rsidP="0094336F">
      <w:pPr>
        <w:pStyle w:val="Default"/>
        <w:rPr>
          <w:rFonts w:ascii="Segoe UI" w:hAnsi="Segoe UI" w:cs="Segoe UI"/>
          <w:sz w:val="20"/>
          <w:szCs w:val="20"/>
        </w:rPr>
      </w:pPr>
      <w:r w:rsidRPr="00033A2C">
        <w:rPr>
          <w:rFonts w:ascii="Segoe UI" w:hAnsi="Segoe UI" w:cs="Segoe UI"/>
          <w:b/>
          <w:bCs/>
          <w:sz w:val="20"/>
          <w:szCs w:val="20"/>
        </w:rPr>
        <w:t>Audits</w:t>
      </w:r>
    </w:p>
    <w:p w14:paraId="4B232B6C" w14:textId="77777777" w:rsidR="0094336F" w:rsidRPr="00033A2C" w:rsidRDefault="0094336F" w:rsidP="0094336F">
      <w:pPr>
        <w:pStyle w:val="Default"/>
        <w:spacing w:after="18"/>
        <w:rPr>
          <w:rFonts w:ascii="Segoe UI" w:hAnsi="Segoe UI" w:cs="Segoe UI"/>
          <w:sz w:val="20"/>
          <w:szCs w:val="20"/>
        </w:rPr>
      </w:pPr>
      <w:r w:rsidRPr="00033A2C">
        <w:rPr>
          <w:rFonts w:ascii="Segoe UI" w:hAnsi="Segoe UI" w:cs="Segoe UI"/>
          <w:sz w:val="20"/>
          <w:szCs w:val="20"/>
        </w:rPr>
        <w:t xml:space="preserve">As part of its ongoing Compliance Program, </w:t>
      </w:r>
      <w:r>
        <w:rPr>
          <w:rFonts w:ascii="Segoe UI" w:hAnsi="Segoe UI" w:cs="Segoe UI"/>
          <w:sz w:val="20"/>
          <w:szCs w:val="20"/>
        </w:rPr>
        <w:t>Quartz</w:t>
      </w:r>
      <w:r w:rsidRPr="00033A2C">
        <w:rPr>
          <w:rFonts w:ascii="Segoe UI" w:hAnsi="Segoe UI" w:cs="Segoe UI"/>
          <w:sz w:val="20"/>
          <w:szCs w:val="20"/>
        </w:rPr>
        <w:t xml:space="preserve"> intend</w:t>
      </w:r>
      <w:r>
        <w:rPr>
          <w:rFonts w:ascii="Segoe UI" w:hAnsi="Segoe UI" w:cs="Segoe UI"/>
          <w:sz w:val="20"/>
          <w:szCs w:val="20"/>
        </w:rPr>
        <w:t>s</w:t>
      </w:r>
      <w:r w:rsidRPr="00033A2C">
        <w:rPr>
          <w:rFonts w:ascii="Segoe UI" w:hAnsi="Segoe UI" w:cs="Segoe UI"/>
          <w:sz w:val="20"/>
          <w:szCs w:val="20"/>
        </w:rPr>
        <w:t xml:space="preserve"> to conduct routine audits to ensure that the organization, its </w:t>
      </w:r>
      <w:r w:rsidRPr="007555DA">
        <w:rPr>
          <w:rFonts w:ascii="Segoe UI" w:hAnsi="Segoe UI" w:cs="Segoe UI"/>
          <w:color w:val="auto"/>
          <w:sz w:val="20"/>
          <w:szCs w:val="20"/>
        </w:rPr>
        <w:t xml:space="preserve">workforce, and delegated entities </w:t>
      </w:r>
      <w:r w:rsidRPr="00033A2C">
        <w:rPr>
          <w:rFonts w:ascii="Segoe UI" w:hAnsi="Segoe UI" w:cs="Segoe UI"/>
          <w:sz w:val="20"/>
          <w:szCs w:val="20"/>
        </w:rPr>
        <w:t xml:space="preserve">are in compliance with applicable laws, </w:t>
      </w:r>
      <w:proofErr w:type="gramStart"/>
      <w:r w:rsidRPr="00033A2C">
        <w:rPr>
          <w:rFonts w:ascii="Segoe UI" w:hAnsi="Segoe UI" w:cs="Segoe UI"/>
          <w:sz w:val="20"/>
          <w:szCs w:val="20"/>
        </w:rPr>
        <w:t>regulations</w:t>
      </w:r>
      <w:proofErr w:type="gramEnd"/>
      <w:r w:rsidRPr="00033A2C">
        <w:rPr>
          <w:rFonts w:ascii="Segoe UI" w:hAnsi="Segoe UI" w:cs="Segoe UI"/>
          <w:sz w:val="20"/>
          <w:szCs w:val="20"/>
        </w:rPr>
        <w:t xml:space="preserve"> and compliance policies. </w:t>
      </w:r>
    </w:p>
    <w:p w14:paraId="1F45A035" w14:textId="77777777" w:rsidR="0094336F" w:rsidRPr="00033A2C" w:rsidRDefault="0094336F" w:rsidP="0094336F">
      <w:pPr>
        <w:pStyle w:val="Default"/>
        <w:rPr>
          <w:rFonts w:ascii="Segoe UI" w:hAnsi="Segoe UI" w:cs="Segoe UI"/>
          <w:sz w:val="20"/>
          <w:szCs w:val="20"/>
        </w:rPr>
      </w:pPr>
    </w:p>
    <w:p w14:paraId="4D1FE027" w14:textId="77777777" w:rsidR="0094336F" w:rsidRPr="00033A2C" w:rsidRDefault="0094336F" w:rsidP="0094336F">
      <w:pPr>
        <w:pStyle w:val="Default"/>
        <w:rPr>
          <w:rFonts w:ascii="Segoe UI" w:hAnsi="Segoe UI" w:cs="Segoe UI"/>
          <w:sz w:val="20"/>
          <w:szCs w:val="20"/>
        </w:rPr>
      </w:pPr>
      <w:r w:rsidRPr="00033A2C">
        <w:rPr>
          <w:rFonts w:ascii="Segoe UI" w:hAnsi="Segoe UI" w:cs="Segoe UI"/>
          <w:sz w:val="20"/>
          <w:szCs w:val="20"/>
        </w:rPr>
        <w:t xml:space="preserve">If, during a routine audit, the Compliance Department discovers a compliance issue, the matter shall be investigated as provided in this policy. Any detected violations will be subject to the appropriate corrective action, including disciplinary action. If a corrective action plan is required as a result of the investigation, all action plans must be documented and reported to Compliance on the official Compliance Corrective Action Plan Form, found on the </w:t>
      </w:r>
      <w:r w:rsidRPr="007555DA">
        <w:rPr>
          <w:rFonts w:ascii="Segoe UI" w:hAnsi="Segoe UI" w:cs="Segoe UI"/>
          <w:color w:val="auto"/>
          <w:sz w:val="20"/>
          <w:szCs w:val="20"/>
        </w:rPr>
        <w:t xml:space="preserve">Quartz </w:t>
      </w:r>
      <w:r w:rsidRPr="00033A2C">
        <w:rPr>
          <w:rFonts w:ascii="Segoe UI" w:hAnsi="Segoe UI" w:cs="Segoe UI"/>
          <w:sz w:val="20"/>
          <w:szCs w:val="20"/>
        </w:rPr>
        <w:t>intrane</w:t>
      </w:r>
      <w:r>
        <w:rPr>
          <w:rFonts w:ascii="Segoe UI" w:hAnsi="Segoe UI" w:cs="Segoe UI"/>
          <w:sz w:val="20"/>
          <w:szCs w:val="20"/>
        </w:rPr>
        <w:t>t.</w:t>
      </w:r>
    </w:p>
    <w:p w14:paraId="5AE71C45" w14:textId="77777777" w:rsidR="0094336F" w:rsidRPr="00033A2C" w:rsidRDefault="0094336F" w:rsidP="0094336F">
      <w:pPr>
        <w:rPr>
          <w:rFonts w:cs="Segoe UI"/>
          <w:szCs w:val="20"/>
        </w:rPr>
      </w:pPr>
    </w:p>
    <w:p w14:paraId="6F3476AE" w14:textId="77777777" w:rsidR="0094336F" w:rsidRPr="00033A2C" w:rsidRDefault="0094336F" w:rsidP="0094336F">
      <w:pPr>
        <w:rPr>
          <w:rFonts w:cs="Segoe UI"/>
          <w:b/>
          <w:szCs w:val="20"/>
          <w:lang w:eastAsia="x-none"/>
        </w:rPr>
      </w:pPr>
      <w:r w:rsidRPr="00033A2C">
        <w:rPr>
          <w:rFonts w:cs="Segoe UI"/>
          <w:b/>
          <w:szCs w:val="20"/>
          <w:lang w:eastAsia="x-none"/>
        </w:rPr>
        <w:t>Confidentiality</w:t>
      </w:r>
    </w:p>
    <w:p w14:paraId="4C84157F" w14:textId="4C8B1929" w:rsidR="00F820CA" w:rsidRPr="00A83444" w:rsidRDefault="0094336F" w:rsidP="00FA1267">
      <w:pPr>
        <w:rPr>
          <w:rFonts w:cs="Segoe UI"/>
          <w:szCs w:val="20"/>
        </w:rPr>
      </w:pPr>
      <w:r w:rsidRPr="00033A2C">
        <w:rPr>
          <w:rFonts w:cs="Segoe UI"/>
          <w:szCs w:val="20"/>
        </w:rPr>
        <w:t>All documents prepared and reviewed by the Compliance Officer</w:t>
      </w:r>
      <w:r>
        <w:rPr>
          <w:rFonts w:cs="Segoe UI"/>
          <w:szCs w:val="20"/>
        </w:rPr>
        <w:t>(s)</w:t>
      </w:r>
      <w:r w:rsidRPr="00033A2C">
        <w:rPr>
          <w:rFonts w:cs="Segoe UI"/>
          <w:szCs w:val="20"/>
        </w:rPr>
        <w:t xml:space="preserve"> concerning a compliance issue shall be maintained in the</w:t>
      </w:r>
      <w:r>
        <w:rPr>
          <w:rFonts w:cs="Segoe UI"/>
          <w:szCs w:val="20"/>
        </w:rPr>
        <w:t xml:space="preserve"> </w:t>
      </w:r>
      <w:r w:rsidRPr="006E1139">
        <w:rPr>
          <w:rFonts w:cs="Segoe UI"/>
          <w:szCs w:val="20"/>
        </w:rPr>
        <w:t xml:space="preserve">Legisway </w:t>
      </w:r>
      <w:r>
        <w:rPr>
          <w:rFonts w:cs="Segoe UI"/>
          <w:szCs w:val="20"/>
        </w:rPr>
        <w:t xml:space="preserve">Compliance </w:t>
      </w:r>
      <w:r w:rsidRPr="00033A2C">
        <w:rPr>
          <w:rFonts w:cs="Segoe UI"/>
          <w:szCs w:val="20"/>
        </w:rPr>
        <w:t xml:space="preserve">Database. All non-privileged documents shall be available for review by appropriate regulatory agencies to show that </w:t>
      </w:r>
      <w:r>
        <w:rPr>
          <w:rFonts w:cs="Segoe UI"/>
          <w:szCs w:val="20"/>
        </w:rPr>
        <w:t>Quartz</w:t>
      </w:r>
      <w:r w:rsidRPr="00033A2C">
        <w:rPr>
          <w:rFonts w:cs="Segoe UI"/>
          <w:szCs w:val="20"/>
        </w:rPr>
        <w:t xml:space="preserve"> maintain</w:t>
      </w:r>
      <w:r>
        <w:rPr>
          <w:rFonts w:cs="Segoe UI"/>
          <w:szCs w:val="20"/>
        </w:rPr>
        <w:t>s</w:t>
      </w:r>
      <w:r w:rsidRPr="00033A2C">
        <w:rPr>
          <w:rFonts w:cs="Segoe UI"/>
          <w:szCs w:val="20"/>
        </w:rPr>
        <w:t xml:space="preserve"> an active and effective Compliance Program.</w:t>
      </w:r>
    </w:p>
    <w:p w14:paraId="731A5B94" w14:textId="77777777" w:rsidR="00FA1267" w:rsidRDefault="00FA1267" w:rsidP="00FA1267"/>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19E79E37" w:rsidR="000E3155" w:rsidRDefault="000E3155">
    <w:pPr>
      <w:pStyle w:val="Footer"/>
    </w:pPr>
    <w:r>
      <w:t xml:space="preserve">Form Version 13   </w:t>
    </w:r>
    <w:r>
      <w:fldChar w:fldCharType="begin"/>
    </w:r>
    <w:r>
      <w:instrText xml:space="preserve"> SAVEDATE  \@ "M/d/yyyy"  \* MERGEFORMAT </w:instrText>
    </w:r>
    <w:r>
      <w:fldChar w:fldCharType="separate"/>
    </w:r>
    <w:r w:rsidR="0016320E">
      <w:rPr>
        <w:noProof/>
      </w:rPr>
      <w:t>7/27/2023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74C122C1" w:rsidR="000E3155" w:rsidRPr="00317F21" w:rsidRDefault="0016320E"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94336F">
          <w:rPr>
            <w:rFonts w:eastAsia="Times New Roman" w:cs="Times New Roman"/>
            <w:b/>
            <w:noProof/>
            <w:sz w:val="28"/>
            <w:szCs w:val="32"/>
            <w:lang w:eastAsia="x-none"/>
          </w:rPr>
          <w:t>Compliance Program Investigations</w:t>
        </w:r>
      </w:sdtContent>
    </w:sdt>
  </w:p>
  <w:p w14:paraId="1FFAC004" w14:textId="07A1C250" w:rsidR="000E3155" w:rsidRPr="00317F21"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06-22T00:00:00Z">
          <w:dateFormat w:val="M/d/yyyy"/>
          <w:lid w:val="en-US"/>
          <w:storeMappedDataAs w:val="dateTime"/>
          <w:calendar w:val="gregorian"/>
        </w:date>
      </w:sdtPr>
      <w:sdtEndPr/>
      <w:sdtContent>
        <w:r w:rsidR="00F6450C">
          <w:rPr>
            <w:rFonts w:eastAsia="Times New Roman" w:cs="Times New Roman"/>
            <w:szCs w:val="20"/>
            <w:lang w:eastAsia="x-none"/>
          </w:rPr>
          <w:t>6</w:t>
        </w:r>
        <w:r w:rsidR="006802BE">
          <w:rPr>
            <w:rFonts w:eastAsia="Times New Roman" w:cs="Times New Roman"/>
            <w:szCs w:val="20"/>
            <w:lang w:eastAsia="x-none"/>
          </w:rPr>
          <w:t>/</w:t>
        </w:r>
        <w:r w:rsidR="00F6450C">
          <w:rPr>
            <w:rFonts w:eastAsia="Times New Roman" w:cs="Times New Roman"/>
            <w:szCs w:val="20"/>
            <w:lang w:eastAsia="x-none"/>
          </w:rPr>
          <w:t>22</w:t>
        </w:r>
        <w:r w:rsidR="006802BE">
          <w:rPr>
            <w:rFonts w:eastAsia="Times New Roman" w:cs="Times New Roman"/>
            <w:szCs w:val="20"/>
            <w:lang w:eastAsia="x-none"/>
          </w:rPr>
          <w:t>/2023</w:t>
        </w:r>
      </w:sdtContent>
    </w:sdt>
  </w:p>
  <w:p w14:paraId="71A52F9E" w14:textId="779BEF45" w:rsidR="000E3155" w:rsidRPr="001731C1" w:rsidRDefault="000E3155" w:rsidP="001731C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94336F">
          <w:rPr>
            <w:rFonts w:eastAsia="Times New Roman" w:cs="Times New Roman"/>
            <w:b/>
            <w:szCs w:val="20"/>
            <w:lang w:eastAsia="x-none"/>
          </w:rPr>
          <w:t>C.017</w:t>
        </w:r>
      </w:sdtContent>
    </w:sdt>
    <w:r w:rsidRPr="00317F21">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684298" w:displacedByCustomXml="next"/>
  <w:bookmarkStart w:id="2" w:name="_Hlk16684299" w:displacedByCustomXml="next"/>
  <w:bookmarkStart w:id="3" w:name="_Hlk16684300" w:displacedByCustomXml="next"/>
  <w:bookmarkStart w:id="4" w:name="_Hlk16684301" w:displacedByCustomXml="next"/>
  <w:bookmarkStart w:id="5" w:name="_Hlk16684302" w:displacedByCustomXml="next"/>
  <w:bookmarkStart w:id="6" w:name="_Hlk16684303" w:displacedByCustomXml="next"/>
  <w:bookmarkStart w:id="7" w:name="_Hlk16771052" w:displacedByCustomXml="next"/>
  <w:bookmarkStart w:id="8" w:name="_Hlk16771053" w:displacedByCustomXml="next"/>
  <w:bookmarkStart w:id="9" w:name="_Hlk16771054" w:displacedByCustomXml="next"/>
  <w:bookmarkStart w:id="10" w:name="_Hlk16771055" w:displacedByCustomXml="next"/>
  <w:bookmarkStart w:id="11" w:name="_Hlk16771056" w:displacedByCustomXml="next"/>
  <w:bookmarkStart w:id="12" w:name="_Hlk16771057"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C723C"/>
    <w:multiLevelType w:val="hybridMultilevel"/>
    <w:tmpl w:val="5920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42C81"/>
    <w:multiLevelType w:val="hybridMultilevel"/>
    <w:tmpl w:val="A3346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9372B"/>
    <w:multiLevelType w:val="hybridMultilevel"/>
    <w:tmpl w:val="4A5867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4A5C"/>
    <w:multiLevelType w:val="hybridMultilevel"/>
    <w:tmpl w:val="CA0CB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D7BFA"/>
    <w:multiLevelType w:val="hybridMultilevel"/>
    <w:tmpl w:val="F70E7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305B3D"/>
    <w:multiLevelType w:val="hybridMultilevel"/>
    <w:tmpl w:val="13A29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0323BB"/>
    <w:multiLevelType w:val="hybridMultilevel"/>
    <w:tmpl w:val="FD16DA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5A404A"/>
    <w:multiLevelType w:val="hybridMultilevel"/>
    <w:tmpl w:val="E4ECCC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6812A6"/>
    <w:multiLevelType w:val="hybridMultilevel"/>
    <w:tmpl w:val="12D4B6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5487294">
    <w:abstractNumId w:val="3"/>
  </w:num>
  <w:num w:numId="2" w16cid:durableId="1291477173">
    <w:abstractNumId w:val="1"/>
  </w:num>
  <w:num w:numId="3" w16cid:durableId="786436839">
    <w:abstractNumId w:val="0"/>
  </w:num>
  <w:num w:numId="4" w16cid:durableId="1839072490">
    <w:abstractNumId w:val="8"/>
  </w:num>
  <w:num w:numId="5" w16cid:durableId="2084528855">
    <w:abstractNumId w:val="2"/>
  </w:num>
  <w:num w:numId="6" w16cid:durableId="1651908097">
    <w:abstractNumId w:val="6"/>
  </w:num>
  <w:num w:numId="7" w16cid:durableId="795180870">
    <w:abstractNumId w:val="7"/>
  </w:num>
  <w:num w:numId="8" w16cid:durableId="267079684">
    <w:abstractNumId w:val="10"/>
  </w:num>
  <w:num w:numId="9" w16cid:durableId="2039044384">
    <w:abstractNumId w:val="4"/>
  </w:num>
  <w:num w:numId="10" w16cid:durableId="1684748731">
    <w:abstractNumId w:val="5"/>
  </w:num>
  <w:num w:numId="11" w16cid:durableId="1777751756">
    <w:abstractNumId w:val="11"/>
  </w:num>
  <w:num w:numId="12" w16cid:durableId="320432446">
    <w:abstractNumId w:val="12"/>
  </w:num>
  <w:num w:numId="13" w16cid:durableId="1292056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877BC"/>
    <w:rsid w:val="00091E70"/>
    <w:rsid w:val="00097B55"/>
    <w:rsid w:val="000B18A4"/>
    <w:rsid w:val="000B353E"/>
    <w:rsid w:val="000B46ED"/>
    <w:rsid w:val="000C7FF4"/>
    <w:rsid w:val="000D0B19"/>
    <w:rsid w:val="000E3155"/>
    <w:rsid w:val="000E4E50"/>
    <w:rsid w:val="00105632"/>
    <w:rsid w:val="001203D9"/>
    <w:rsid w:val="001256E4"/>
    <w:rsid w:val="0016320E"/>
    <w:rsid w:val="00170BC5"/>
    <w:rsid w:val="001731C1"/>
    <w:rsid w:val="00183F19"/>
    <w:rsid w:val="00186E3D"/>
    <w:rsid w:val="00193AC4"/>
    <w:rsid w:val="001C4DBA"/>
    <w:rsid w:val="001D1780"/>
    <w:rsid w:val="001E1545"/>
    <w:rsid w:val="001F29BA"/>
    <w:rsid w:val="001F4D8C"/>
    <w:rsid w:val="001F4E48"/>
    <w:rsid w:val="00210990"/>
    <w:rsid w:val="00242BAF"/>
    <w:rsid w:val="00252874"/>
    <w:rsid w:val="00253D15"/>
    <w:rsid w:val="002552F1"/>
    <w:rsid w:val="00261EE1"/>
    <w:rsid w:val="0027042B"/>
    <w:rsid w:val="00271672"/>
    <w:rsid w:val="00280659"/>
    <w:rsid w:val="0028098F"/>
    <w:rsid w:val="00297739"/>
    <w:rsid w:val="002D461D"/>
    <w:rsid w:val="00302D37"/>
    <w:rsid w:val="0030712B"/>
    <w:rsid w:val="00307BF4"/>
    <w:rsid w:val="0031039E"/>
    <w:rsid w:val="003149B9"/>
    <w:rsid w:val="00317F21"/>
    <w:rsid w:val="0032134B"/>
    <w:rsid w:val="00324844"/>
    <w:rsid w:val="00334860"/>
    <w:rsid w:val="0033513B"/>
    <w:rsid w:val="0033776F"/>
    <w:rsid w:val="003552A1"/>
    <w:rsid w:val="00374918"/>
    <w:rsid w:val="00397639"/>
    <w:rsid w:val="003A25F6"/>
    <w:rsid w:val="003A44AE"/>
    <w:rsid w:val="003A7E3B"/>
    <w:rsid w:val="003B3687"/>
    <w:rsid w:val="003C2375"/>
    <w:rsid w:val="003C25B5"/>
    <w:rsid w:val="003C6644"/>
    <w:rsid w:val="003D7EFF"/>
    <w:rsid w:val="003E4166"/>
    <w:rsid w:val="003E7CCA"/>
    <w:rsid w:val="0041371C"/>
    <w:rsid w:val="00421F06"/>
    <w:rsid w:val="00426345"/>
    <w:rsid w:val="00435001"/>
    <w:rsid w:val="00441166"/>
    <w:rsid w:val="00465E0B"/>
    <w:rsid w:val="004663EE"/>
    <w:rsid w:val="0047113F"/>
    <w:rsid w:val="00472DCC"/>
    <w:rsid w:val="00474CB0"/>
    <w:rsid w:val="004812FF"/>
    <w:rsid w:val="004D515D"/>
    <w:rsid w:val="004F32B0"/>
    <w:rsid w:val="00506E2A"/>
    <w:rsid w:val="00530EF4"/>
    <w:rsid w:val="005335B3"/>
    <w:rsid w:val="00540B01"/>
    <w:rsid w:val="00542492"/>
    <w:rsid w:val="00547294"/>
    <w:rsid w:val="00560E5B"/>
    <w:rsid w:val="005742BE"/>
    <w:rsid w:val="00577310"/>
    <w:rsid w:val="00577E75"/>
    <w:rsid w:val="00593654"/>
    <w:rsid w:val="00596565"/>
    <w:rsid w:val="005A4198"/>
    <w:rsid w:val="005A6628"/>
    <w:rsid w:val="005A732F"/>
    <w:rsid w:val="005B0130"/>
    <w:rsid w:val="005F5115"/>
    <w:rsid w:val="005F7A61"/>
    <w:rsid w:val="00637B4C"/>
    <w:rsid w:val="00641157"/>
    <w:rsid w:val="00654253"/>
    <w:rsid w:val="006543C6"/>
    <w:rsid w:val="00667CFF"/>
    <w:rsid w:val="00673053"/>
    <w:rsid w:val="00677948"/>
    <w:rsid w:val="006802BE"/>
    <w:rsid w:val="006869E8"/>
    <w:rsid w:val="006C13C2"/>
    <w:rsid w:val="006E05D6"/>
    <w:rsid w:val="006E48C4"/>
    <w:rsid w:val="006F4C93"/>
    <w:rsid w:val="00711909"/>
    <w:rsid w:val="00722AC5"/>
    <w:rsid w:val="00737F8D"/>
    <w:rsid w:val="00742229"/>
    <w:rsid w:val="007433DB"/>
    <w:rsid w:val="0078582F"/>
    <w:rsid w:val="00792B73"/>
    <w:rsid w:val="007B7C9A"/>
    <w:rsid w:val="007D6B66"/>
    <w:rsid w:val="007E1B4C"/>
    <w:rsid w:val="007F1176"/>
    <w:rsid w:val="007F1E36"/>
    <w:rsid w:val="007F316B"/>
    <w:rsid w:val="00802906"/>
    <w:rsid w:val="00807AA1"/>
    <w:rsid w:val="008144E2"/>
    <w:rsid w:val="008441A0"/>
    <w:rsid w:val="00845E2A"/>
    <w:rsid w:val="00872062"/>
    <w:rsid w:val="00882D1C"/>
    <w:rsid w:val="00885B94"/>
    <w:rsid w:val="008917B3"/>
    <w:rsid w:val="00896C67"/>
    <w:rsid w:val="00897857"/>
    <w:rsid w:val="008B1D23"/>
    <w:rsid w:val="008B71D9"/>
    <w:rsid w:val="008D1B78"/>
    <w:rsid w:val="008D3F25"/>
    <w:rsid w:val="008D6111"/>
    <w:rsid w:val="008E467F"/>
    <w:rsid w:val="008E5AB7"/>
    <w:rsid w:val="00912143"/>
    <w:rsid w:val="00933638"/>
    <w:rsid w:val="00934579"/>
    <w:rsid w:val="00935568"/>
    <w:rsid w:val="0094336F"/>
    <w:rsid w:val="009545F4"/>
    <w:rsid w:val="009709AA"/>
    <w:rsid w:val="00980119"/>
    <w:rsid w:val="0098349B"/>
    <w:rsid w:val="00991C53"/>
    <w:rsid w:val="009966B4"/>
    <w:rsid w:val="009A19B7"/>
    <w:rsid w:val="009A6410"/>
    <w:rsid w:val="009A6FA1"/>
    <w:rsid w:val="009A774F"/>
    <w:rsid w:val="009B21E8"/>
    <w:rsid w:val="009C60AF"/>
    <w:rsid w:val="009D0932"/>
    <w:rsid w:val="009E5541"/>
    <w:rsid w:val="009F4E96"/>
    <w:rsid w:val="00A00E8E"/>
    <w:rsid w:val="00A155B6"/>
    <w:rsid w:val="00A15C6F"/>
    <w:rsid w:val="00A41730"/>
    <w:rsid w:val="00A42310"/>
    <w:rsid w:val="00A475BA"/>
    <w:rsid w:val="00A83444"/>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572B1"/>
    <w:rsid w:val="00D63190"/>
    <w:rsid w:val="00D66FFE"/>
    <w:rsid w:val="00D84081"/>
    <w:rsid w:val="00D85903"/>
    <w:rsid w:val="00D9492C"/>
    <w:rsid w:val="00D96962"/>
    <w:rsid w:val="00DA5AA1"/>
    <w:rsid w:val="00DC009E"/>
    <w:rsid w:val="00DC160A"/>
    <w:rsid w:val="00DC2516"/>
    <w:rsid w:val="00DE73DC"/>
    <w:rsid w:val="00E06743"/>
    <w:rsid w:val="00E16ACB"/>
    <w:rsid w:val="00E427A4"/>
    <w:rsid w:val="00E50512"/>
    <w:rsid w:val="00E549F3"/>
    <w:rsid w:val="00E5672D"/>
    <w:rsid w:val="00EB56A8"/>
    <w:rsid w:val="00EC4750"/>
    <w:rsid w:val="00ED356F"/>
    <w:rsid w:val="00EE337E"/>
    <w:rsid w:val="00EE5131"/>
    <w:rsid w:val="00F03FE0"/>
    <w:rsid w:val="00F04404"/>
    <w:rsid w:val="00F1196E"/>
    <w:rsid w:val="00F26BB5"/>
    <w:rsid w:val="00F40173"/>
    <w:rsid w:val="00F44CA6"/>
    <w:rsid w:val="00F6397D"/>
    <w:rsid w:val="00F6450C"/>
    <w:rsid w:val="00F77F84"/>
    <w:rsid w:val="00F806A1"/>
    <w:rsid w:val="00F81794"/>
    <w:rsid w:val="00F820CA"/>
    <w:rsid w:val="00F87AD6"/>
    <w:rsid w:val="00FA0956"/>
    <w:rsid w:val="00FA0C61"/>
    <w:rsid w:val="00FA1267"/>
    <w:rsid w:val="00FA3CA3"/>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83444"/>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paragraph" w:customStyle="1" w:styleId="Default">
    <w:name w:val="Default"/>
    <w:rsid w:val="0094336F"/>
    <w:pPr>
      <w:autoSpaceDE w:val="0"/>
      <w:autoSpaceDN w:val="0"/>
      <w:adjustRightInd w:val="0"/>
      <w:spacing w:after="0" w:line="240" w:lineRule="auto"/>
    </w:pPr>
    <w:rPr>
      <w:rFonts w:ascii="Calibri" w:eastAsia="Times New Roman" w:hAnsi="Calibri" w:cs="Calibri"/>
      <w:color w:val="000000"/>
      <w:sz w:val="24"/>
      <w:szCs w:val="24"/>
    </w:rPr>
  </w:style>
  <w:style w:type="character" w:styleId="Hyperlink">
    <w:name w:val="Hyperlink"/>
    <w:uiPriority w:val="99"/>
    <w:unhideWhenUsed/>
    <w:rsid w:val="0094336F"/>
    <w:rPr>
      <w:color w:val="0563C1"/>
      <w:u w:val="single"/>
    </w:rPr>
  </w:style>
  <w:style w:type="paragraph" w:styleId="Revision">
    <w:name w:val="Revision"/>
    <w:hidden/>
    <w:uiPriority w:val="99"/>
    <w:semiHidden/>
    <w:rsid w:val="00FA0956"/>
    <w:pPr>
      <w:spacing w:after="0" w:line="240" w:lineRule="auto"/>
    </w:pPr>
    <w:rPr>
      <w:rFonts w:ascii="Segoe UI" w:hAnsi="Segoe UI"/>
      <w:sz w:val="20"/>
    </w:rPr>
  </w:style>
  <w:style w:type="character" w:styleId="CommentReference">
    <w:name w:val="annotation reference"/>
    <w:basedOn w:val="DefaultParagraphFont"/>
    <w:uiPriority w:val="99"/>
    <w:semiHidden/>
    <w:unhideWhenUsed/>
    <w:rsid w:val="00FA0956"/>
    <w:rPr>
      <w:sz w:val="16"/>
      <w:szCs w:val="16"/>
    </w:rPr>
  </w:style>
  <w:style w:type="paragraph" w:styleId="CommentText">
    <w:name w:val="annotation text"/>
    <w:basedOn w:val="Normal"/>
    <w:link w:val="CommentTextChar"/>
    <w:uiPriority w:val="99"/>
    <w:semiHidden/>
    <w:unhideWhenUsed/>
    <w:rsid w:val="00FA0956"/>
    <w:pPr>
      <w:spacing w:line="240" w:lineRule="auto"/>
    </w:pPr>
    <w:rPr>
      <w:szCs w:val="20"/>
    </w:rPr>
  </w:style>
  <w:style w:type="character" w:customStyle="1" w:styleId="CommentTextChar">
    <w:name w:val="Comment Text Char"/>
    <w:basedOn w:val="DefaultParagraphFont"/>
    <w:link w:val="CommentText"/>
    <w:uiPriority w:val="99"/>
    <w:semiHidden/>
    <w:rsid w:val="00FA0956"/>
    <w:rPr>
      <w:rFonts w:ascii="Segoe UI" w:hAnsi="Segoe UI"/>
      <w:sz w:val="20"/>
      <w:szCs w:val="20"/>
    </w:rPr>
  </w:style>
  <w:style w:type="paragraph" w:styleId="CommentSubject">
    <w:name w:val="annotation subject"/>
    <w:basedOn w:val="CommentText"/>
    <w:next w:val="CommentText"/>
    <w:link w:val="CommentSubjectChar"/>
    <w:uiPriority w:val="99"/>
    <w:semiHidden/>
    <w:unhideWhenUsed/>
    <w:rsid w:val="00FA0956"/>
    <w:rPr>
      <w:b/>
      <w:bCs/>
    </w:rPr>
  </w:style>
  <w:style w:type="character" w:customStyle="1" w:styleId="CommentSubjectChar">
    <w:name w:val="Comment Subject Char"/>
    <w:basedOn w:val="CommentTextChar"/>
    <w:link w:val="CommentSubject"/>
    <w:uiPriority w:val="99"/>
    <w:semiHidden/>
    <w:rsid w:val="00FA0956"/>
    <w:rPr>
      <w:rFonts w:ascii="Segoe UI" w:hAnsi="Segoe UI"/>
      <w:b/>
      <w:bCs/>
      <w:sz w:val="20"/>
      <w:szCs w:val="20"/>
    </w:rPr>
  </w:style>
  <w:style w:type="character" w:styleId="UnresolvedMention">
    <w:name w:val="Unresolved Mention"/>
    <w:basedOn w:val="DefaultParagraphFont"/>
    <w:uiPriority w:val="99"/>
    <w:semiHidden/>
    <w:unhideWhenUsed/>
    <w:rsid w:val="00087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reportfraud.wisconsin.gov/rptfrd/defaul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now.internal.unityhealth.com/Intranet/main.aspx?tid=6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
      <w:docPartPr>
        <w:name w:val="42EDC556E15C4705850CD2EBA885B976"/>
        <w:category>
          <w:name w:val="General"/>
          <w:gallery w:val="placeholder"/>
        </w:category>
        <w:types>
          <w:type w:val="bbPlcHdr"/>
        </w:types>
        <w:behaviors>
          <w:behavior w:val="content"/>
        </w:behaviors>
        <w:guid w:val="{AA879532-A6B6-48E7-9E82-0B20B5559D27}"/>
      </w:docPartPr>
      <w:docPartBody>
        <w:p w:rsidR="00A07181" w:rsidRDefault="006A229C" w:rsidP="006A229C">
          <w:pPr>
            <w:pStyle w:val="42EDC556E15C4705850CD2EBA885B976"/>
          </w:pPr>
          <w:r>
            <w:rPr>
              <w:rStyle w:val="PlaceholderText"/>
            </w:rPr>
            <w:t>Title of position responsible for updates. For example, the owner for all HIPAA P&amp;Ps would be - Assistant Vice President, Compliance &amp; Government Regulatory Operations</w:t>
          </w:r>
        </w:p>
      </w:docPartBody>
    </w:docPart>
    <w:docPart>
      <w:docPartPr>
        <w:name w:val="C6AC0362F7E642ABA61C4B3F19FB01E9"/>
        <w:category>
          <w:name w:val="General"/>
          <w:gallery w:val="placeholder"/>
        </w:category>
        <w:types>
          <w:type w:val="bbPlcHdr"/>
        </w:types>
        <w:behaviors>
          <w:behavior w:val="content"/>
        </w:behaviors>
        <w:guid w:val="{578B4128-BF66-4704-B5BE-DB130FBB3454}"/>
      </w:docPartPr>
      <w:docPartBody>
        <w:p w:rsidR="00A07181" w:rsidRDefault="006A229C" w:rsidP="006A229C">
          <w:pPr>
            <w:pStyle w:val="C6AC0362F7E642ABA61C4B3F19FB01E9"/>
          </w:pPr>
          <w:r>
            <w:rPr>
              <w:rStyle w:val="PlaceholderText"/>
            </w:rPr>
            <w:t>Title of position responsible for updates. For example, the owner for all HIPAA P&amp;Ps would be - Assistant Vice President, Compliance &amp; Government Regulatory Operations</w:t>
          </w:r>
        </w:p>
      </w:docPartBody>
    </w:docPart>
    <w:docPart>
      <w:docPartPr>
        <w:name w:val="E5EC52223100454EA2A72060D57DCA2B"/>
        <w:category>
          <w:name w:val="General"/>
          <w:gallery w:val="placeholder"/>
        </w:category>
        <w:types>
          <w:type w:val="bbPlcHdr"/>
        </w:types>
        <w:behaviors>
          <w:behavior w:val="content"/>
        </w:behaviors>
        <w:guid w:val="{AFF15E8F-31D9-401A-B45F-8FDAEB83A4A5}"/>
      </w:docPartPr>
      <w:docPartBody>
        <w:p w:rsidR="00A07181" w:rsidRDefault="006A229C" w:rsidP="006A229C">
          <w:pPr>
            <w:pStyle w:val="E5EC52223100454EA2A72060D57DCA2B"/>
          </w:pPr>
          <w:r>
            <w:rPr>
              <w:rStyle w:val="PlaceholderText"/>
            </w:rPr>
            <w:t>Should always be 12 months from last review</w:t>
          </w:r>
        </w:p>
      </w:docPartBody>
    </w:docPart>
    <w:docPart>
      <w:docPartPr>
        <w:name w:val="FE0D1C7C494141F5BA56668E686A5443"/>
        <w:category>
          <w:name w:val="General"/>
          <w:gallery w:val="placeholder"/>
        </w:category>
        <w:types>
          <w:type w:val="bbPlcHdr"/>
        </w:types>
        <w:behaviors>
          <w:behavior w:val="content"/>
        </w:behaviors>
        <w:guid w:val="{B6FEFE5D-A73F-4AB0-BB32-C9602E16B321}"/>
      </w:docPartPr>
      <w:docPartBody>
        <w:p w:rsidR="00A07181" w:rsidRDefault="006A229C" w:rsidP="006A229C">
          <w:pPr>
            <w:pStyle w:val="FE0D1C7C494141F5BA56668E686A5443"/>
          </w:pPr>
          <w:r w:rsidRPr="00CA7EED">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713606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3A0A3C"/>
    <w:rsid w:val="0042315D"/>
    <w:rsid w:val="004E4408"/>
    <w:rsid w:val="004F7A66"/>
    <w:rsid w:val="005A0E42"/>
    <w:rsid w:val="005B65F7"/>
    <w:rsid w:val="006470F3"/>
    <w:rsid w:val="006A229C"/>
    <w:rsid w:val="008D1649"/>
    <w:rsid w:val="00967A80"/>
    <w:rsid w:val="00A0523C"/>
    <w:rsid w:val="00A07181"/>
    <w:rsid w:val="00A83BF3"/>
    <w:rsid w:val="00CC15FD"/>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C8B02441DE46C5BB558030B9FBB94D">
    <w:name w:val="EFC8B02441DE46C5BB558030B9FBB94D"/>
    <w:rsid w:val="0042315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6A229C"/>
    <w:rPr>
      <w:color w:val="808080"/>
    </w:rPr>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EFC8B02441DE46C5BB558030B9FBB94D1">
    <w:name w:val="EFC8B02441DE46C5BB558030B9FBB94D1"/>
    <w:rsid w:val="0042315D"/>
    <w:rPr>
      <w:rFonts w:ascii="Segoe UI" w:eastAsiaTheme="minorHAnsi" w:hAnsi="Segoe UI"/>
      <w:sz w:val="20"/>
    </w:rPr>
  </w:style>
  <w:style w:type="paragraph" w:customStyle="1" w:styleId="7B4F2C7C22254A1F9C8C22CB874BE234">
    <w:name w:val="7B4F2C7C22254A1F9C8C22CB874BE234"/>
    <w:rsid w:val="0042315D"/>
    <w:rPr>
      <w:rFonts w:ascii="Segoe UI" w:eastAsiaTheme="minorHAnsi" w:hAnsi="Segoe UI"/>
      <w:sz w:val="20"/>
    </w:rPr>
  </w:style>
  <w:style w:type="paragraph" w:customStyle="1" w:styleId="8EBE1C4959E84BF99C7B3DD483931E7B">
    <w:name w:val="8EBE1C4959E84BF99C7B3DD483931E7B"/>
    <w:rsid w:val="0042315D"/>
    <w:rPr>
      <w:rFonts w:ascii="Segoe UI" w:eastAsiaTheme="minorHAnsi" w:hAnsi="Segoe UI"/>
      <w:sz w:val="20"/>
    </w:rPr>
  </w:style>
  <w:style w:type="paragraph" w:customStyle="1" w:styleId="D97BB49F01394FEF9714E56A8D01579D">
    <w:name w:val="D97BB49F01394FEF9714E56A8D01579D"/>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 w:type="paragraph" w:customStyle="1" w:styleId="BE4FAB184F7D45F58A49438710942ECF">
    <w:name w:val="BE4FAB184F7D45F58A49438710942ECF"/>
    <w:rsid w:val="00E831DA"/>
  </w:style>
  <w:style w:type="paragraph" w:customStyle="1" w:styleId="849CF12D8D0641EF9B2E5B45BBF2A7BE19">
    <w:name w:val="849CF12D8D0641EF9B2E5B45BBF2A7BE19"/>
    <w:rsid w:val="004F7A66"/>
    <w:rPr>
      <w:rFonts w:ascii="Segoe UI" w:eastAsiaTheme="minorHAnsi" w:hAnsi="Segoe UI"/>
      <w:sz w:val="20"/>
    </w:rPr>
  </w:style>
  <w:style w:type="paragraph" w:customStyle="1" w:styleId="D61CD1AA880E4DB09CE4C5D1F77116BF19">
    <w:name w:val="D61CD1AA880E4DB09CE4C5D1F77116BF19"/>
    <w:rsid w:val="004F7A66"/>
    <w:rPr>
      <w:rFonts w:ascii="Segoe UI" w:eastAsiaTheme="minorHAnsi" w:hAnsi="Segoe UI"/>
      <w:sz w:val="20"/>
    </w:rPr>
  </w:style>
  <w:style w:type="paragraph" w:customStyle="1" w:styleId="B34F3C551E30477F94330B44FB6FF89648">
    <w:name w:val="B34F3C551E30477F94330B44FB6FF89648"/>
    <w:rsid w:val="004F7A66"/>
    <w:rPr>
      <w:rFonts w:ascii="Segoe UI" w:eastAsiaTheme="minorHAnsi" w:hAnsi="Segoe UI"/>
      <w:sz w:val="20"/>
    </w:rPr>
  </w:style>
  <w:style w:type="paragraph" w:customStyle="1" w:styleId="69127A58F93B465AAEF3905F8BDFAA3B49">
    <w:name w:val="69127A58F93B465AAEF3905F8BDFAA3B49"/>
    <w:rsid w:val="004F7A66"/>
    <w:rPr>
      <w:rFonts w:ascii="Segoe UI" w:eastAsiaTheme="minorHAnsi" w:hAnsi="Segoe UI"/>
      <w:sz w:val="20"/>
    </w:rPr>
  </w:style>
  <w:style w:type="paragraph" w:customStyle="1" w:styleId="E61165D01A814BF280825C27E8B595E642">
    <w:name w:val="E61165D01A814BF280825C27E8B595E642"/>
    <w:rsid w:val="004F7A66"/>
    <w:rPr>
      <w:rFonts w:ascii="Segoe UI" w:eastAsiaTheme="minorHAnsi" w:hAnsi="Segoe UI"/>
      <w:sz w:val="20"/>
    </w:rPr>
  </w:style>
  <w:style w:type="paragraph" w:customStyle="1" w:styleId="92920F64EFF94D9799E84102FA3891CE42">
    <w:name w:val="92920F64EFF94D9799E84102FA3891CE42"/>
    <w:rsid w:val="004F7A66"/>
    <w:rPr>
      <w:rFonts w:ascii="Segoe UI" w:eastAsiaTheme="minorHAnsi" w:hAnsi="Segoe UI"/>
      <w:sz w:val="20"/>
    </w:rPr>
  </w:style>
  <w:style w:type="paragraph" w:customStyle="1" w:styleId="474FED3E396843CCAB150D97BB497F1424">
    <w:name w:val="474FED3E396843CCAB150D97BB497F1424"/>
    <w:rsid w:val="004F7A66"/>
    <w:rPr>
      <w:rFonts w:ascii="Segoe UI" w:eastAsiaTheme="minorHAnsi" w:hAnsi="Segoe UI"/>
      <w:sz w:val="20"/>
    </w:rPr>
  </w:style>
  <w:style w:type="paragraph" w:customStyle="1" w:styleId="CD61A73F3D9C46B5A9B6903D57AA07A723">
    <w:name w:val="CD61A73F3D9C46B5A9B6903D57AA07A723"/>
    <w:rsid w:val="004F7A66"/>
    <w:rPr>
      <w:rFonts w:ascii="Segoe UI" w:eastAsiaTheme="minorHAnsi" w:hAnsi="Segoe UI"/>
      <w:sz w:val="20"/>
    </w:rPr>
  </w:style>
  <w:style w:type="paragraph" w:customStyle="1" w:styleId="A07A5BC9E3EA4538974299BC697A7AAC24">
    <w:name w:val="A07A5BC9E3EA4538974299BC697A7AAC24"/>
    <w:rsid w:val="004F7A66"/>
    <w:rPr>
      <w:rFonts w:ascii="Segoe UI" w:eastAsiaTheme="minorHAnsi" w:hAnsi="Segoe UI"/>
      <w:sz w:val="20"/>
    </w:rPr>
  </w:style>
  <w:style w:type="paragraph" w:customStyle="1" w:styleId="242436EE6D354B22A236B895B259367E42">
    <w:name w:val="242436EE6D354B22A236B895B259367E42"/>
    <w:rsid w:val="004F7A66"/>
    <w:rPr>
      <w:rFonts w:ascii="Segoe UI" w:eastAsiaTheme="minorHAnsi" w:hAnsi="Segoe UI"/>
      <w:sz w:val="20"/>
    </w:rPr>
  </w:style>
  <w:style w:type="paragraph" w:customStyle="1" w:styleId="C599F7928DFC4DB0BD89B14569C81DF024">
    <w:name w:val="C599F7928DFC4DB0BD89B14569C81DF024"/>
    <w:rsid w:val="004F7A66"/>
    <w:rPr>
      <w:rFonts w:ascii="Segoe UI" w:eastAsiaTheme="minorHAnsi" w:hAnsi="Segoe UI"/>
      <w:sz w:val="20"/>
    </w:rPr>
  </w:style>
  <w:style w:type="paragraph" w:customStyle="1" w:styleId="7A5BFC3FCECF439090698CF7A0DE635942">
    <w:name w:val="7A5BFC3FCECF439090698CF7A0DE635942"/>
    <w:rsid w:val="004F7A66"/>
    <w:rPr>
      <w:rFonts w:ascii="Segoe UI" w:eastAsiaTheme="minorHAnsi" w:hAnsi="Segoe UI"/>
      <w:sz w:val="20"/>
    </w:rPr>
  </w:style>
  <w:style w:type="paragraph" w:customStyle="1" w:styleId="7B4F2C7C22254A1F9C8C22CB874BE23429">
    <w:name w:val="7B4F2C7C22254A1F9C8C22CB874BE23429"/>
    <w:rsid w:val="004F7A66"/>
    <w:rPr>
      <w:rFonts w:ascii="Segoe UI" w:eastAsiaTheme="minorHAnsi" w:hAnsi="Segoe UI"/>
      <w:sz w:val="20"/>
    </w:rPr>
  </w:style>
  <w:style w:type="paragraph" w:customStyle="1" w:styleId="8EBE1C4959E84BF99C7B3DD483931E7B29">
    <w:name w:val="8EBE1C4959E84BF99C7B3DD483931E7B29"/>
    <w:rsid w:val="004F7A66"/>
    <w:rPr>
      <w:rFonts w:ascii="Segoe UI" w:eastAsiaTheme="minorHAnsi" w:hAnsi="Segoe UI"/>
      <w:sz w:val="20"/>
    </w:rPr>
  </w:style>
  <w:style w:type="paragraph" w:customStyle="1" w:styleId="D97BB49F01394FEF9714E56A8D01579D29">
    <w:name w:val="D97BB49F01394FEF9714E56A8D01579D29"/>
    <w:rsid w:val="004F7A66"/>
    <w:rPr>
      <w:rFonts w:ascii="Segoe UI" w:eastAsiaTheme="minorHAnsi" w:hAnsi="Segoe UI"/>
      <w:sz w:val="20"/>
    </w:rPr>
  </w:style>
  <w:style w:type="paragraph" w:customStyle="1" w:styleId="04AA4702C63A4BD6A58C87B016D057BC14">
    <w:name w:val="04AA4702C63A4BD6A58C87B016D057BC14"/>
    <w:rsid w:val="004F7A66"/>
    <w:rPr>
      <w:rFonts w:ascii="Segoe UI" w:eastAsiaTheme="minorHAnsi" w:hAnsi="Segoe UI"/>
      <w:sz w:val="20"/>
    </w:rPr>
  </w:style>
  <w:style w:type="paragraph" w:customStyle="1" w:styleId="72D282E48F894A57890FB1BD86756CFF14">
    <w:name w:val="72D282E48F894A57890FB1BD86756CFF14"/>
    <w:rsid w:val="004F7A66"/>
    <w:rPr>
      <w:rFonts w:ascii="Segoe UI" w:eastAsiaTheme="minorHAnsi" w:hAnsi="Segoe UI"/>
      <w:sz w:val="20"/>
    </w:rPr>
  </w:style>
  <w:style w:type="paragraph" w:customStyle="1" w:styleId="5DD5B1B889944501BE4E68C64E7EE95B14">
    <w:name w:val="5DD5B1B889944501BE4E68C64E7EE95B14"/>
    <w:rsid w:val="004F7A66"/>
    <w:rPr>
      <w:rFonts w:ascii="Segoe UI" w:eastAsiaTheme="minorHAnsi" w:hAnsi="Segoe UI"/>
      <w:sz w:val="20"/>
    </w:rPr>
  </w:style>
  <w:style w:type="paragraph" w:customStyle="1" w:styleId="F21677A039B34161BF3ACB6089E2826129">
    <w:name w:val="F21677A039B34161BF3ACB6089E2826129"/>
    <w:rsid w:val="004F7A66"/>
    <w:rPr>
      <w:rFonts w:ascii="Segoe UI" w:eastAsiaTheme="minorHAnsi" w:hAnsi="Segoe UI"/>
      <w:sz w:val="20"/>
    </w:rPr>
  </w:style>
  <w:style w:type="paragraph" w:customStyle="1" w:styleId="1E62F0806B1140DCBC36E623C8B3CF3E29">
    <w:name w:val="1E62F0806B1140DCBC36E623C8B3CF3E29"/>
    <w:rsid w:val="004F7A66"/>
    <w:rPr>
      <w:rFonts w:ascii="Segoe UI" w:eastAsiaTheme="minorHAnsi" w:hAnsi="Segoe UI"/>
      <w:sz w:val="20"/>
    </w:rPr>
  </w:style>
  <w:style w:type="paragraph" w:customStyle="1" w:styleId="2C917A00AAFE4C80A1BF25047A24128729">
    <w:name w:val="2C917A00AAFE4C80A1BF25047A24128729"/>
    <w:rsid w:val="004F7A66"/>
    <w:rPr>
      <w:rFonts w:ascii="Segoe UI" w:eastAsiaTheme="minorHAnsi" w:hAnsi="Segoe UI"/>
      <w:sz w:val="20"/>
    </w:rPr>
  </w:style>
  <w:style w:type="paragraph" w:customStyle="1" w:styleId="42EDC556E15C4705850CD2EBA885B976">
    <w:name w:val="42EDC556E15C4705850CD2EBA885B976"/>
    <w:rsid w:val="006A229C"/>
  </w:style>
  <w:style w:type="paragraph" w:customStyle="1" w:styleId="C6AC0362F7E642ABA61C4B3F19FB01E9">
    <w:name w:val="C6AC0362F7E642ABA61C4B3F19FB01E9"/>
    <w:rsid w:val="006A229C"/>
  </w:style>
  <w:style w:type="paragraph" w:customStyle="1" w:styleId="E5EC52223100454EA2A72060D57DCA2B">
    <w:name w:val="E5EC52223100454EA2A72060D57DCA2B"/>
    <w:rsid w:val="006A229C"/>
  </w:style>
  <w:style w:type="paragraph" w:customStyle="1" w:styleId="FE0D1C7C494141F5BA56668E686A5443">
    <w:name w:val="FE0D1C7C494141F5BA56668E686A5443"/>
    <w:rsid w:val="006A2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2023-12-05T14:29:00Z</dcterms:created>
  <dcterms:modified xsi:type="dcterms:W3CDTF">2023-12-05T14:29:00Z</dcterms:modified>
</cp:coreProperties>
</file>