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3CE3DF55" w:rsidR="00896C67" w:rsidRPr="00F6397D" w:rsidRDefault="008652AB"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1DA96F2F" w:rsidR="00896C67" w:rsidRPr="00F6397D" w:rsidRDefault="008652AB"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52043CFA" w:rsidR="00896C67" w:rsidRPr="00F6397D" w:rsidRDefault="008652AB"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1290885C" w:rsidR="00896C67" w:rsidRPr="00F6397D" w:rsidRDefault="008652AB"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458F8E45" w:rsidR="00896C67" w:rsidRPr="00F6397D" w:rsidRDefault="008652AB"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8652AB"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28C6D63A" w:rsidR="00896C67" w:rsidRPr="00F6397D" w:rsidRDefault="008652AB"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11941EDD" w:rsidR="00896C67" w:rsidRPr="00F6397D" w:rsidRDefault="008652AB"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3D56D7CB" w:rsidR="00896C67" w:rsidRPr="00F6397D" w:rsidRDefault="008652AB"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246F0254" w:rsidR="00896C67" w:rsidRPr="00F6397D" w:rsidRDefault="008652AB"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8652AB"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6CA22279" w:rsidR="008B1D23" w:rsidRPr="00F6397D" w:rsidRDefault="008652AB" w:rsidP="00B320F5">
                <w:pPr>
                  <w:keepLines/>
                  <w:spacing w:after="60"/>
                </w:pPr>
                <w:sdt>
                  <w:sdtPr>
                    <w:rPr>
                      <w:sz w:val="24"/>
                    </w:rPr>
                    <w:id w:val="380452936"/>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6D096E5A" w:rsidR="008B1D23" w:rsidRPr="00BC5C53" w:rsidRDefault="008652AB" w:rsidP="008B1D23">
                <w:pPr>
                  <w:keepLines/>
                  <w:spacing w:after="60"/>
                  <w:rPr>
                    <w:rFonts w:eastAsia="Times New Roman" w:cs="Times New Roman"/>
                    <w:sz w:val="22"/>
                  </w:rPr>
                </w:pPr>
                <w:sdt>
                  <w:sdtPr>
                    <w:rPr>
                      <w:sz w:val="24"/>
                    </w:rPr>
                    <w:id w:val="-84235867"/>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3D8752AE" w:rsidR="008E5AB7" w:rsidRPr="0028098F" w:rsidRDefault="008652AB" w:rsidP="00896C67">
                <w:pPr>
                  <w:keepLines/>
                  <w:spacing w:after="60"/>
                </w:pPr>
                <w:sdt>
                  <w:sdtPr>
                    <w:rPr>
                      <w:rFonts w:ascii="Segoe UI Semibold" w:hAnsi="Segoe UI Semibold"/>
                      <w:b/>
                      <w:bCs/>
                      <w:sz w:val="24"/>
                    </w:rPr>
                    <w:id w:val="1378349974"/>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b/>
                        <w:bCs/>
                        <w:sz w:val="24"/>
                      </w:rPr>
                      <w:t>☒</w:t>
                    </w:r>
                  </w:sdtContent>
                </w:sdt>
                <w:r w:rsidR="008E5AB7" w:rsidRPr="0028098F">
                  <w:t xml:space="preserve"> Commercial HMO</w:t>
                </w:r>
              </w:p>
              <w:p w14:paraId="5BA29144" w14:textId="238386E6" w:rsidR="008E5AB7" w:rsidRPr="0028098F" w:rsidRDefault="008652AB" w:rsidP="00896C67">
                <w:pPr>
                  <w:keepLines/>
                  <w:spacing w:after="60"/>
                </w:pPr>
                <w:sdt>
                  <w:sdtPr>
                    <w:rPr>
                      <w:sz w:val="24"/>
                    </w:rPr>
                    <w:id w:val="478194351"/>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28098F">
                  <w:t xml:space="preserve"> Commercial PPO</w:t>
                </w:r>
              </w:p>
              <w:p w14:paraId="06ABB573" w14:textId="7306CB17" w:rsidR="008E5AB7" w:rsidRPr="0028098F" w:rsidRDefault="008652AB" w:rsidP="00896C67">
                <w:pPr>
                  <w:keepLines/>
                  <w:spacing w:after="60"/>
                </w:pPr>
                <w:sdt>
                  <w:sdtPr>
                    <w:rPr>
                      <w:sz w:val="24"/>
                    </w:rPr>
                    <w:id w:val="1541093259"/>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6108DE36" w:rsidR="008E5AB7" w:rsidRPr="00F6397D" w:rsidRDefault="008652AB" w:rsidP="00896C67">
                <w:pPr>
                  <w:keepLines/>
                  <w:spacing w:after="60"/>
                </w:pPr>
                <w:sdt>
                  <w:sdtPr>
                    <w:rPr>
                      <w:sz w:val="24"/>
                    </w:rPr>
                    <w:id w:val="-134718888"/>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6B39C230" w:rsidR="008E5AB7" w:rsidRDefault="008652AB" w:rsidP="00896C67">
                <w:pPr>
                  <w:keepLines/>
                  <w:spacing w:after="60"/>
                </w:pPr>
                <w:sdt>
                  <w:sdtPr>
                    <w:rPr>
                      <w:sz w:val="24"/>
                    </w:rPr>
                    <w:id w:val="937334416"/>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03B91FE1" w:rsidR="008E5AB7" w:rsidRDefault="008652AB" w:rsidP="00896C67">
                <w:pPr>
                  <w:keepLines/>
                  <w:spacing w:after="60"/>
                </w:pPr>
                <w:sdt>
                  <w:sdtPr>
                    <w:rPr>
                      <w:sz w:val="24"/>
                    </w:rPr>
                    <w:id w:val="1631667148"/>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t xml:space="preserve"> Individual </w:t>
                </w:r>
                <w:r w:rsidR="00324844">
                  <w:t>Pre-2010</w:t>
                </w:r>
              </w:p>
              <w:p w14:paraId="6EFCC709" w14:textId="15B780AF" w:rsidR="008E5AB7" w:rsidRDefault="008652AB" w:rsidP="00896C67">
                <w:pPr>
                  <w:keepLines/>
                  <w:spacing w:after="60"/>
                </w:pPr>
                <w:sdt>
                  <w:sdtPr>
                    <w:rPr>
                      <w:sz w:val="24"/>
                    </w:rPr>
                    <w:id w:val="1014654002"/>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487E002B" w:rsidR="000E3155" w:rsidRPr="00F6397D" w:rsidRDefault="008652AB" w:rsidP="00896C67">
                <w:pPr>
                  <w:keepLines/>
                  <w:spacing w:after="60"/>
                </w:pPr>
                <w:sdt>
                  <w:sdtPr>
                    <w:rPr>
                      <w:sz w:val="24"/>
                    </w:rPr>
                    <w:id w:val="-455568649"/>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03D435C3" w:rsidR="008E5AB7" w:rsidRDefault="008652AB" w:rsidP="001F4E48">
                <w:pPr>
                  <w:keepLines/>
                  <w:spacing w:after="60"/>
                </w:pPr>
                <w:sdt>
                  <w:sdtPr>
                    <w:rPr>
                      <w:sz w:val="24"/>
                    </w:rPr>
                    <w:id w:val="472192593"/>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683483F4" w:rsidR="008E5AB7" w:rsidRPr="00577E75" w:rsidRDefault="008652AB" w:rsidP="00896C67">
                <w:pPr>
                  <w:keepLines/>
                  <w:spacing w:after="60"/>
                </w:pPr>
                <w:sdt>
                  <w:sdtPr>
                    <w:rPr>
                      <w:sz w:val="24"/>
                    </w:rPr>
                    <w:id w:val="402102956"/>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259553CA" w:rsidR="008E5AB7" w:rsidRPr="00577E75" w:rsidRDefault="008652AB" w:rsidP="00896C67">
                <w:pPr>
                  <w:keepLines/>
                  <w:spacing w:after="60"/>
                </w:pPr>
                <w:sdt>
                  <w:sdtPr>
                    <w:rPr>
                      <w:sz w:val="24"/>
                    </w:rPr>
                    <w:id w:val="1859694707"/>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08588A03" w:rsidR="008E5AB7" w:rsidRDefault="008652AB" w:rsidP="00896C67">
                <w:pPr>
                  <w:keepLines/>
                  <w:spacing w:after="60"/>
                </w:pPr>
                <w:sdt>
                  <w:sdtPr>
                    <w:rPr>
                      <w:sz w:val="24"/>
                    </w:rPr>
                    <w:id w:val="-1973591583"/>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430DBEB2" w:rsidR="009A6FA1" w:rsidRDefault="008652AB" w:rsidP="009A6FA1">
                <w:pPr>
                  <w:keepLines/>
                  <w:spacing w:after="60"/>
                </w:pPr>
                <w:sdt>
                  <w:sdtPr>
                    <w:rPr>
                      <w:sz w:val="24"/>
                    </w:rPr>
                    <w:id w:val="-2124837106"/>
                    <w15:appearance w15:val="hidden"/>
                    <w14:checkbox>
                      <w14:checked w14:val="1"/>
                      <w14:checkedState w14:val="2612" w14:font="MS Gothic"/>
                      <w14:uncheckedState w14:val="2610" w14:font="MS Gothic"/>
                    </w14:checkbox>
                  </w:sdtPr>
                  <w:sdtEndPr/>
                  <w:sdtContent>
                    <w:r w:rsidR="00FB4A37">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10ABD17E"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FB4A37">
                <w:rPr>
                  <w:rFonts w:eastAsia="Times New Roman" w:cs="Arial"/>
                  <w:b/>
                  <w:u w:val="single"/>
                </w:rPr>
                <w:t>the Compliance Officer(s)</w:t>
              </w:r>
            </w:sdtContent>
          </w:sdt>
          <w:r w:rsidRPr="00472DCC">
            <w:rPr>
              <w:rFonts w:eastAsia="Times New Roman" w:cs="Arial"/>
            </w:rPr>
            <w:t>.</w:t>
          </w:r>
        </w:p>
        <w:p w14:paraId="03323048" w14:textId="7AFF969A"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FB4A37">
                <w:rPr>
                  <w:rFonts w:eastAsia="Times New Roman" w:cs="Arial"/>
                  <w:b/>
                  <w:u w:val="single"/>
                </w:rPr>
                <w:t>the Compliance Officer(s)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C35937" w14:paraId="44DB5DF9" w14:textId="77777777" w:rsidTr="00722AC5">
            <w:tc>
              <w:tcPr>
                <w:tcW w:w="1800" w:type="dxa"/>
                <w:tcBorders>
                  <w:top w:val="nil"/>
                  <w:bottom w:val="nil"/>
                </w:tcBorders>
              </w:tcPr>
              <w:p w14:paraId="324CB74F" w14:textId="77777777" w:rsidR="00C35937" w:rsidRPr="00A155B6" w:rsidRDefault="00C35937">
                <w:pPr>
                  <w:rPr>
                    <w:rStyle w:val="Strong"/>
                    <w:b w:val="0"/>
                  </w:rPr>
                </w:pPr>
                <w:r w:rsidRPr="00A155B6">
                  <w:rPr>
                    <w:rStyle w:val="Strong"/>
                    <w:b w:val="0"/>
                  </w:rPr>
                  <w:t>Document Owner:</w:t>
                </w:r>
              </w:p>
            </w:tc>
            <w:sdt>
              <w:sdtPr>
                <w:id w:val="-1772466457"/>
                <w:placeholder>
                  <w:docPart w:val="E61165D01A814BF280825C27E8B595E6"/>
                </w:placeholder>
                <w15:appearance w15:val="hidden"/>
              </w:sdtPr>
              <w:sdtEndPr/>
              <w:sdtContent>
                <w:sdt>
                  <w:sdtPr>
                    <w:id w:val="-2023537712"/>
                    <w:placeholder>
                      <w:docPart w:val="5C66EF072FFE440DB93CB65CFE86E8B6"/>
                    </w:placeholder>
                    <w15:appearance w15:val="hidden"/>
                  </w:sdtPr>
                  <w:sdtEndPr/>
                  <w:sdtContent>
                    <w:tc>
                      <w:tcPr>
                        <w:tcW w:w="8990" w:type="dxa"/>
                      </w:tcPr>
                      <w:p w14:paraId="4421197B" w14:textId="488B0DB8" w:rsidR="00C35937" w:rsidRDefault="00FB4A37">
                        <w:r>
                          <w:t>AVP, Compliance and Government Regulatory Operations and Senior Director, Deputy General Counsel – Compliance Services</w:t>
                        </w:r>
                      </w:p>
                    </w:tc>
                  </w:sdtContent>
                </w:sdt>
              </w:sdtContent>
            </w:sdt>
          </w:tr>
          <w:tr w:rsidR="00C35937" w14:paraId="00C2A070" w14:textId="77777777" w:rsidTr="00722AC5">
            <w:trPr>
              <w:trHeight w:val="242"/>
            </w:trPr>
            <w:tc>
              <w:tcPr>
                <w:tcW w:w="1800" w:type="dxa"/>
                <w:tcBorders>
                  <w:top w:val="nil"/>
                  <w:bottom w:val="nil"/>
                </w:tcBorders>
              </w:tcPr>
              <w:p w14:paraId="2EB0EE94" w14:textId="77777777" w:rsidR="00C35937" w:rsidRPr="00A155B6" w:rsidRDefault="00C35937">
                <w:pPr>
                  <w:rPr>
                    <w:rStyle w:val="Strong"/>
                    <w:b w:val="0"/>
                  </w:rPr>
                </w:pPr>
                <w:r w:rsidRPr="00A155B6">
                  <w:rPr>
                    <w:rStyle w:val="Strong"/>
                    <w:b w:val="0"/>
                  </w:rPr>
                  <w:t>Next Review:</w:t>
                </w:r>
              </w:p>
            </w:tc>
            <w:sdt>
              <w:sdtPr>
                <w:id w:val="-388103198"/>
                <w:placeholder>
                  <w:docPart w:val="92920F64EFF94D9799E84102FA3891CE"/>
                </w:placeholder>
                <w15:appearance w15:val="hidden"/>
              </w:sdtPr>
              <w:sdtEndPr/>
              <w:sdtContent>
                <w:tc>
                  <w:tcPr>
                    <w:tcW w:w="8990" w:type="dxa"/>
                  </w:tcPr>
                  <w:p w14:paraId="54BD646E" w14:textId="25CB64B9" w:rsidR="00C35937" w:rsidRDefault="00FB4A37">
                    <w:r>
                      <w:t xml:space="preserve">November </w:t>
                    </w:r>
                    <w:r w:rsidRPr="008F660C">
                      <w:t>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8F660C">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5173593F" w:rsidR="00F77F84" w:rsidRPr="00374918" w:rsidRDefault="00FB4A37">
                    <w:pPr>
                      <w:rPr>
                        <w:color w:val="808080"/>
                      </w:rPr>
                    </w:pPr>
                    <w:r>
                      <w:t xml:space="preserve">Jessica Stanton, Compliance Analyst </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7-08-21T00:00:00Z">
                      <w:dateFormat w:val="M/d/yyyy"/>
                      <w:lid w:val="en-US"/>
                      <w:storeMappedDataAs w:val="dateTime"/>
                      <w:calendar w:val="gregorian"/>
                    </w:date>
                  </w:sdtPr>
                  <w:sdtEndPr/>
                  <w:sdtContent>
                    <w:tc>
                      <w:tcPr>
                        <w:tcW w:w="1345" w:type="dxa"/>
                      </w:tcPr>
                      <w:p w14:paraId="62C34E4E" w14:textId="770C5B51" w:rsidR="00F77F84" w:rsidRDefault="00FB4A37">
                        <w:r>
                          <w:t>8/21/2017</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8F660C">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2E372A38" w:rsidR="00F77F84" w:rsidRDefault="00FB4A37">
                            <w:r>
                              <w:t>Jessica Stanton, Sr. Compliance Analyst</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11-28T00:00:00Z">
                              <w:dateFormat w:val="M/d/yyyy"/>
                              <w:lid w:val="en-US"/>
                              <w:storeMappedDataAs w:val="dateTime"/>
                              <w:calendar w:val="gregorian"/>
                            </w:date>
                          </w:sdtPr>
                          <w:sdtEndPr/>
                          <w:sdtContent>
                            <w:tc>
                              <w:tcPr>
                                <w:tcW w:w="1345" w:type="dxa"/>
                              </w:tcPr>
                              <w:p w14:paraId="3E48CF5B" w14:textId="18AE559D" w:rsidR="00F77F84" w:rsidRPr="008F660C" w:rsidRDefault="00FB4A37">
                                <w:r w:rsidRPr="008F660C">
                                  <w:t>11/2</w:t>
                                </w:r>
                                <w:r w:rsidR="00B64F30" w:rsidRPr="008F660C">
                                  <w:t>8</w:t>
                                </w:r>
                                <w:r w:rsidRPr="008F660C">
                                  <w:t>/2023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8F660C">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1D07EDDE" w:rsidR="00F77F84" w:rsidRDefault="00FB4A37">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23-11-29T00:00:00Z">
                              <w:dateFormat w:val="M/d/yyyy"/>
                              <w:lid w:val="en-US"/>
                              <w:storeMappedDataAs w:val="dateTime"/>
                              <w:calendar w:val="gregorian"/>
                            </w:date>
                          </w:sdtPr>
                          <w:sdtEndPr/>
                          <w:sdtContent>
                            <w:tc>
                              <w:tcPr>
                                <w:tcW w:w="1345" w:type="dxa"/>
                              </w:tcPr>
                              <w:p w14:paraId="10F347B4" w14:textId="2DEF3FC6" w:rsidR="00F77F84" w:rsidRDefault="006201BC">
                                <w:r w:rsidRPr="008F660C">
                                  <w:t>11</w:t>
                                </w:r>
                                <w:r w:rsidR="00FB4A37" w:rsidRPr="008F660C">
                                  <w:t>/2</w:t>
                                </w:r>
                                <w:r w:rsidRPr="008F660C">
                                  <w:t>9</w:t>
                                </w:r>
                                <w:r w:rsidR="00FB4A37" w:rsidRPr="008F660C">
                                  <w:t>/20</w:t>
                                </w:r>
                                <w:r w:rsidRPr="008F660C">
                                  <w:t>23</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8652AB"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Default="000C7FF4" w:rsidP="000C7FF4">
      <w:pPr>
        <w:pStyle w:val="Heading1"/>
      </w:pPr>
      <w:r>
        <w:lastRenderedPageBreak/>
        <w:t>Purpose</w:t>
      </w:r>
    </w:p>
    <w:p w14:paraId="1DA9B04A" w14:textId="307D2BA5" w:rsidR="000C7FF4" w:rsidRPr="008F660C" w:rsidRDefault="00FB4A37" w:rsidP="000C7FF4">
      <w:r w:rsidRPr="008F660C">
        <w:rPr>
          <w:rFonts w:cs="Arial"/>
        </w:rPr>
        <w:t xml:space="preserve">The purpose of this policy is to provide a documented standard for conducting and reporting of internal compliance auditing and monitoring </w:t>
      </w:r>
      <w:proofErr w:type="gramStart"/>
      <w:r w:rsidRPr="008F660C">
        <w:rPr>
          <w:rFonts w:cs="Arial"/>
        </w:rPr>
        <w:t>that tests</w:t>
      </w:r>
      <w:proofErr w:type="gramEnd"/>
      <w:r w:rsidRPr="008F660C">
        <w:rPr>
          <w:rFonts w:cs="Arial"/>
        </w:rPr>
        <w:t xml:space="preserve"> and confirms compliance with state and federal regulations and laws, sub-regulatory guidance, and contractual agreements as well as internal policies and procedures to protect against noncompliance and fraud, waste, and abuse.</w:t>
      </w:r>
    </w:p>
    <w:p w14:paraId="08108A77" w14:textId="1BA82BEC" w:rsidR="00D9492C" w:rsidRDefault="00D9492C" w:rsidP="00D9492C">
      <w:pPr>
        <w:pStyle w:val="Heading1"/>
      </w:pPr>
      <w:r>
        <w:t>Policy</w:t>
      </w:r>
    </w:p>
    <w:p w14:paraId="7D9CBA70" w14:textId="1BC2D32B" w:rsidR="00D9492C" w:rsidRPr="00FB4A37" w:rsidRDefault="00FB4A37" w:rsidP="00FB4A37">
      <w:pPr>
        <w:autoSpaceDE w:val="0"/>
        <w:autoSpaceDN w:val="0"/>
        <w:adjustRightInd w:val="0"/>
        <w:rPr>
          <w:rFonts w:cs="Arial"/>
        </w:rPr>
      </w:pPr>
      <w:r>
        <w:rPr>
          <w:rFonts w:cs="Arial"/>
        </w:rPr>
        <w:t>This policy applies to all departments and all products within Quartz. This policy also applies to auditing and monitoring performed by all federal program first-tier, downstream and related entities (FDRs), requiring documentation of their internal auditing and monitoring to be provided to the Compliance department.</w:t>
      </w:r>
    </w:p>
    <w:p w14:paraId="00A95846" w14:textId="77777777" w:rsidR="00D9492C" w:rsidRDefault="00D9492C" w:rsidP="00D9492C">
      <w:pPr>
        <w:pStyle w:val="Heading1"/>
      </w:pPr>
      <w:r>
        <w:t>Definitions</w:t>
      </w:r>
    </w:p>
    <w:tbl>
      <w:tblPr>
        <w:tblStyle w:val="TableGrid"/>
        <w:tblW w:w="0" w:type="auto"/>
        <w:tblLayout w:type="fixed"/>
        <w:tblCellMar>
          <w:left w:w="43" w:type="dxa"/>
          <w:right w:w="43" w:type="dxa"/>
        </w:tblCellMar>
        <w:tblLook w:val="04A0" w:firstRow="1" w:lastRow="0" w:firstColumn="1" w:lastColumn="0" w:noHBand="0" w:noVBand="1"/>
      </w:tblPr>
      <w:tblGrid>
        <w:gridCol w:w="2245"/>
        <w:gridCol w:w="8545"/>
      </w:tblGrid>
      <w:tr w:rsidR="00FB4A37" w14:paraId="4EFB367F" w14:textId="77777777" w:rsidTr="00F87AD6">
        <w:tc>
          <w:tcPr>
            <w:tcW w:w="2245" w:type="dxa"/>
          </w:tcPr>
          <w:p w14:paraId="7BAC1306" w14:textId="342E8B24" w:rsidR="00FB4A37" w:rsidRDefault="00FB4A37" w:rsidP="00FB4A37">
            <w:r w:rsidRPr="00EF24B2">
              <w:rPr>
                <w:rFonts w:cs="Segoe UI"/>
                <w:b/>
                <w:szCs w:val="20"/>
              </w:rPr>
              <w:t>Auditing</w:t>
            </w:r>
          </w:p>
        </w:tc>
        <w:tc>
          <w:tcPr>
            <w:tcW w:w="8545" w:type="dxa"/>
          </w:tcPr>
          <w:p w14:paraId="2DCA6D97" w14:textId="77777777" w:rsidR="00FB4A37" w:rsidRPr="00EF24B2" w:rsidRDefault="00FB4A37" w:rsidP="00FB4A37">
            <w:pPr>
              <w:rPr>
                <w:rFonts w:cs="Segoe UI"/>
                <w:szCs w:val="20"/>
              </w:rPr>
            </w:pPr>
            <w:r w:rsidRPr="00EF24B2">
              <w:rPr>
                <w:rFonts w:cs="Segoe UI"/>
                <w:szCs w:val="20"/>
              </w:rPr>
              <w:t>Auditing activities are typically performed by reviewers who do not work in the department being audited. Audits may be performed by Compliance staff, Internal Audit staff, management staff, or external third-party reviewers. Auditing activities may include:</w:t>
            </w:r>
          </w:p>
          <w:p w14:paraId="49DB0EC0" w14:textId="77777777" w:rsidR="00FB4A37" w:rsidRPr="00EF24B2" w:rsidRDefault="00FB4A37" w:rsidP="00FB4A37">
            <w:pPr>
              <w:pStyle w:val="ListParagraph"/>
              <w:numPr>
                <w:ilvl w:val="0"/>
                <w:numId w:val="5"/>
              </w:numPr>
              <w:contextualSpacing w:val="0"/>
              <w:rPr>
                <w:rFonts w:cs="Segoe UI"/>
                <w:szCs w:val="20"/>
              </w:rPr>
            </w:pPr>
            <w:r w:rsidRPr="00EF24B2">
              <w:rPr>
                <w:rFonts w:cs="Segoe UI"/>
                <w:szCs w:val="20"/>
              </w:rPr>
              <w:t>Reviewing policies, procedures, reports, and related documents</w:t>
            </w:r>
          </w:p>
          <w:p w14:paraId="1362C3B8" w14:textId="544B30D3" w:rsidR="00FB4A37" w:rsidRPr="00FB4A37" w:rsidRDefault="00FB4A37" w:rsidP="00FB4A37">
            <w:pPr>
              <w:pStyle w:val="ListParagraph"/>
              <w:numPr>
                <w:ilvl w:val="0"/>
                <w:numId w:val="5"/>
              </w:numPr>
              <w:contextualSpacing w:val="0"/>
              <w:rPr>
                <w:rFonts w:cs="Segoe UI"/>
                <w:szCs w:val="20"/>
              </w:rPr>
            </w:pPr>
            <w:r w:rsidRPr="00EF24B2">
              <w:rPr>
                <w:rFonts w:cs="Segoe UI"/>
                <w:szCs w:val="20"/>
              </w:rPr>
              <w:t>Reviewing a sample of data to assess understanding of regulatory requirements and to verify that procedures and controls are working as intended; or</w:t>
            </w:r>
            <w:r>
              <w:rPr>
                <w:rFonts w:cs="Segoe UI"/>
                <w:szCs w:val="20"/>
              </w:rPr>
              <w:t xml:space="preserve"> p</w:t>
            </w:r>
            <w:r w:rsidRPr="00FB4A37">
              <w:rPr>
                <w:rFonts w:cs="Segoe UI"/>
                <w:szCs w:val="20"/>
              </w:rPr>
              <w:t>ulling a universe and testing a relevant sample to confirm that outcomes comply with regulatory requirements.</w:t>
            </w:r>
          </w:p>
        </w:tc>
      </w:tr>
      <w:sdt>
        <w:sdtPr>
          <w:id w:val="-1763837394"/>
          <w15:repeatingSection/>
        </w:sdtPr>
        <w:sdtEndPr/>
        <w:sdtContent>
          <w:sdt>
            <w:sdtPr>
              <w:id w:val="-1104572310"/>
              <w:placeholder>
                <w:docPart w:val="A01A9079B45D4154A708CE3342B11DFA"/>
              </w:placeholder>
              <w15:repeatingSectionItem/>
            </w:sdtPr>
            <w:sdtEndPr/>
            <w:sdtContent>
              <w:tr w:rsidR="00FB4A37" w14:paraId="66BC2254" w14:textId="77777777" w:rsidTr="00F87AD6">
                <w:tc>
                  <w:tcPr>
                    <w:tcW w:w="2245" w:type="dxa"/>
                  </w:tcPr>
                  <w:p w14:paraId="16667903" w14:textId="181632D5" w:rsidR="00FB4A37" w:rsidRDefault="00FB4A37" w:rsidP="00FB4A37">
                    <w:r w:rsidRPr="00EF24B2">
                      <w:rPr>
                        <w:rFonts w:cs="Segoe UI"/>
                        <w:b/>
                        <w:szCs w:val="20"/>
                      </w:rPr>
                      <w:t>Monitoring</w:t>
                    </w:r>
                  </w:p>
                </w:tc>
                <w:tc>
                  <w:tcPr>
                    <w:tcW w:w="8545" w:type="dxa"/>
                  </w:tcPr>
                  <w:p w14:paraId="3DA55AA3" w14:textId="77777777" w:rsidR="00FB4A37" w:rsidRPr="00EF24B2" w:rsidRDefault="00FB4A37" w:rsidP="00FB4A37">
                    <w:pPr>
                      <w:rPr>
                        <w:rFonts w:cs="Segoe UI"/>
                        <w:szCs w:val="20"/>
                      </w:rPr>
                    </w:pPr>
                    <w:r w:rsidRPr="00EF24B2">
                      <w:rPr>
                        <w:rFonts w:cs="Segoe UI"/>
                        <w:szCs w:val="20"/>
                      </w:rPr>
                      <w:t>Monitoring activities may be performed by operational areas and/or compliance staff on a regular basis (</w:t>
                    </w:r>
                    <w:proofErr w:type="gramStart"/>
                    <w:r w:rsidRPr="00EF24B2">
                      <w:rPr>
                        <w:rFonts w:cs="Segoe UI"/>
                        <w:szCs w:val="20"/>
                      </w:rPr>
                      <w:t>e.g.</w:t>
                    </w:r>
                    <w:proofErr w:type="gramEnd"/>
                    <w:r w:rsidRPr="00EF24B2">
                      <w:rPr>
                        <w:rFonts w:cs="Segoe UI"/>
                        <w:szCs w:val="20"/>
                      </w:rPr>
                      <w:t xml:space="preserve"> daily, weekly, monthly, quarterly, etc.). Monitoring activities may include:</w:t>
                    </w:r>
                  </w:p>
                  <w:p w14:paraId="0B92FB75" w14:textId="77777777" w:rsidR="00FB4A37" w:rsidRPr="00EF24B2" w:rsidRDefault="00FB4A37" w:rsidP="00FB4A37">
                    <w:pPr>
                      <w:pStyle w:val="ListParagraph"/>
                      <w:numPr>
                        <w:ilvl w:val="0"/>
                        <w:numId w:val="6"/>
                      </w:numPr>
                      <w:contextualSpacing w:val="0"/>
                      <w:rPr>
                        <w:rFonts w:cs="Segoe UI"/>
                        <w:szCs w:val="20"/>
                      </w:rPr>
                    </w:pPr>
                    <w:r w:rsidRPr="00EF24B2">
                      <w:rPr>
                        <w:rFonts w:cs="Segoe UI"/>
                        <w:szCs w:val="20"/>
                      </w:rPr>
                      <w:t>Reviewing and analyzing relevant compliance and performance metrics</w:t>
                    </w:r>
                  </w:p>
                  <w:p w14:paraId="20C55B9F" w14:textId="77777777" w:rsidR="00FB4A37" w:rsidRPr="00EF24B2" w:rsidRDefault="00FB4A37" w:rsidP="00FB4A37">
                    <w:pPr>
                      <w:pStyle w:val="ListParagraph"/>
                      <w:numPr>
                        <w:ilvl w:val="0"/>
                        <w:numId w:val="6"/>
                      </w:numPr>
                      <w:contextualSpacing w:val="0"/>
                      <w:jc w:val="both"/>
                      <w:rPr>
                        <w:rFonts w:cs="Segoe UI"/>
                        <w:szCs w:val="20"/>
                      </w:rPr>
                    </w:pPr>
                    <w:r w:rsidRPr="00EF24B2">
                      <w:rPr>
                        <w:rFonts w:cs="Segoe UI"/>
                        <w:szCs w:val="20"/>
                      </w:rPr>
                      <w:t>Trending relevant compliance and performance metrics to proactively identify indicators of potential noncompliance</w:t>
                    </w:r>
                  </w:p>
                  <w:p w14:paraId="743D1784" w14:textId="58EBBEE8" w:rsidR="00FB4A37" w:rsidRPr="00FB4A37" w:rsidRDefault="00FB4A37" w:rsidP="00FB4A37">
                    <w:pPr>
                      <w:pStyle w:val="ListParagraph"/>
                      <w:numPr>
                        <w:ilvl w:val="0"/>
                        <w:numId w:val="6"/>
                      </w:numPr>
                      <w:contextualSpacing w:val="0"/>
                      <w:jc w:val="both"/>
                      <w:rPr>
                        <w:rFonts w:cs="Segoe UI"/>
                        <w:szCs w:val="20"/>
                      </w:rPr>
                    </w:pPr>
                    <w:r w:rsidRPr="00EF24B2">
                      <w:rPr>
                        <w:rFonts w:cs="Segoe UI"/>
                        <w:szCs w:val="20"/>
                      </w:rPr>
                      <w:t>Verifying that procedures and controls are working as intended; or</w:t>
                    </w:r>
                    <w:r>
                      <w:rPr>
                        <w:rFonts w:cs="Segoe UI"/>
                        <w:szCs w:val="20"/>
                      </w:rPr>
                      <w:t xml:space="preserve"> p</w:t>
                    </w:r>
                    <w:r w:rsidRPr="00FB4A37">
                      <w:rPr>
                        <w:rFonts w:cs="Segoe UI"/>
                        <w:szCs w:val="20"/>
                      </w:rPr>
                      <w:t>erforming limited testing.</w:t>
                    </w:r>
                  </w:p>
                </w:tc>
              </w:tr>
            </w:sdtContent>
          </w:sdt>
        </w:sdtContent>
      </w:sdt>
      <w:tr w:rsidR="00FB4A37" w14:paraId="15186EF0" w14:textId="77777777" w:rsidTr="00F87AD6">
        <w:tc>
          <w:tcPr>
            <w:tcW w:w="2245" w:type="dxa"/>
          </w:tcPr>
          <w:p w14:paraId="5F45F158" w14:textId="026130F0" w:rsidR="00FB4A37" w:rsidRDefault="00FB4A37" w:rsidP="00FB4A37">
            <w:r w:rsidRPr="00EF24B2">
              <w:rPr>
                <w:rFonts w:cs="Segoe UI"/>
                <w:b/>
                <w:szCs w:val="20"/>
              </w:rPr>
              <w:t>FDR</w:t>
            </w:r>
          </w:p>
        </w:tc>
        <w:tc>
          <w:tcPr>
            <w:tcW w:w="8545" w:type="dxa"/>
          </w:tcPr>
          <w:p w14:paraId="1948B36F" w14:textId="659F2BF8" w:rsidR="00FB4A37" w:rsidRDefault="00FB4A37" w:rsidP="00FB4A37">
            <w:r w:rsidRPr="00EF24B2">
              <w:rPr>
                <w:rFonts w:cs="Segoe UI"/>
                <w:szCs w:val="20"/>
              </w:rPr>
              <w:t>First Tier, Downstream or Related Entity</w:t>
            </w:r>
          </w:p>
        </w:tc>
      </w:tr>
      <w:tr w:rsidR="00FB4A37" w14:paraId="5A11AA39" w14:textId="77777777" w:rsidTr="00F87AD6">
        <w:tc>
          <w:tcPr>
            <w:tcW w:w="2245" w:type="dxa"/>
          </w:tcPr>
          <w:p w14:paraId="7F4204AC" w14:textId="2666BF8F" w:rsidR="00FB4A37" w:rsidRDefault="00FB4A37" w:rsidP="00FB4A37">
            <w:r w:rsidRPr="00EF24B2">
              <w:rPr>
                <w:rFonts w:cs="Segoe UI"/>
                <w:b/>
                <w:szCs w:val="20"/>
              </w:rPr>
              <w:t>First Tier Entity</w:t>
            </w:r>
          </w:p>
        </w:tc>
        <w:tc>
          <w:tcPr>
            <w:tcW w:w="8545" w:type="dxa"/>
          </w:tcPr>
          <w:p w14:paraId="4ECFA219" w14:textId="77777777" w:rsidR="00FB4A37" w:rsidRPr="00EF24B2" w:rsidRDefault="00FB4A37" w:rsidP="00FB4A37">
            <w:pPr>
              <w:autoSpaceDE w:val="0"/>
              <w:autoSpaceDN w:val="0"/>
              <w:adjustRightInd w:val="0"/>
              <w:spacing w:before="40" w:after="20"/>
              <w:jc w:val="both"/>
              <w:rPr>
                <w:rFonts w:cs="Segoe UI"/>
                <w:szCs w:val="20"/>
              </w:rPr>
            </w:pPr>
            <w:r w:rsidRPr="00EF24B2">
              <w:rPr>
                <w:rFonts w:cs="Segoe UI"/>
                <w:szCs w:val="20"/>
              </w:rPr>
              <w:t>Any party that enters into a written arrangement, acceptable to CMS, with a Medicare Advantage Organization (MAO) and Part D plan sponsor, to provide:</w:t>
            </w:r>
          </w:p>
          <w:p w14:paraId="0E8A680F" w14:textId="77777777" w:rsidR="00FB4A37" w:rsidRPr="00F9526E" w:rsidRDefault="00FB4A37" w:rsidP="00FB4A37">
            <w:pPr>
              <w:autoSpaceDE w:val="0"/>
              <w:autoSpaceDN w:val="0"/>
              <w:adjustRightInd w:val="0"/>
              <w:spacing w:before="40" w:after="20"/>
              <w:jc w:val="both"/>
              <w:rPr>
                <w:rFonts w:cs="Segoe UI"/>
                <w:sz w:val="16"/>
                <w:szCs w:val="16"/>
              </w:rPr>
            </w:pPr>
          </w:p>
          <w:p w14:paraId="6EC6CC28" w14:textId="77777777" w:rsidR="00FB4A37" w:rsidRPr="00EF24B2" w:rsidRDefault="00FB4A37" w:rsidP="00FB4A37">
            <w:pPr>
              <w:autoSpaceDE w:val="0"/>
              <w:autoSpaceDN w:val="0"/>
              <w:adjustRightInd w:val="0"/>
              <w:spacing w:before="40" w:after="20"/>
              <w:jc w:val="both"/>
              <w:rPr>
                <w:rFonts w:cs="Segoe UI"/>
                <w:szCs w:val="20"/>
              </w:rPr>
            </w:pPr>
            <w:r w:rsidRPr="00EF24B2">
              <w:rPr>
                <w:rFonts w:cs="Segoe UI"/>
                <w:szCs w:val="20"/>
              </w:rPr>
              <w:t>Administrative services (</w:t>
            </w:r>
            <w:proofErr w:type="gramStart"/>
            <w:r w:rsidRPr="00EF24B2">
              <w:rPr>
                <w:rFonts w:cs="Segoe UI"/>
                <w:szCs w:val="20"/>
              </w:rPr>
              <w:t>e.g.</w:t>
            </w:r>
            <w:proofErr w:type="gramEnd"/>
            <w:r w:rsidRPr="00EF24B2">
              <w:rPr>
                <w:rFonts w:cs="Segoe UI"/>
                <w:szCs w:val="20"/>
              </w:rPr>
              <w:t xml:space="preserve"> marketing, utilization management, quality management, application processing, enrollment or disenrollment functions, claims processing, adjudicating Medicare organization determinations, appeals and grievances, provider credentialing); or</w:t>
            </w:r>
          </w:p>
          <w:p w14:paraId="5B930A06" w14:textId="77777777" w:rsidR="00FB4A37" w:rsidRPr="00F9526E" w:rsidRDefault="00FB4A37" w:rsidP="00FB4A37">
            <w:pPr>
              <w:autoSpaceDE w:val="0"/>
              <w:autoSpaceDN w:val="0"/>
              <w:adjustRightInd w:val="0"/>
              <w:spacing w:before="40" w:after="20"/>
              <w:jc w:val="both"/>
              <w:rPr>
                <w:rFonts w:cs="Segoe UI"/>
                <w:sz w:val="16"/>
                <w:szCs w:val="16"/>
              </w:rPr>
            </w:pPr>
          </w:p>
          <w:p w14:paraId="22BA245C" w14:textId="32F46CCF" w:rsidR="00FB4A37" w:rsidRDefault="00FB4A37" w:rsidP="00FB4A37">
            <w:r w:rsidRPr="00EF24B2">
              <w:rPr>
                <w:rFonts w:cs="Segoe UI"/>
                <w:szCs w:val="20"/>
              </w:rPr>
              <w:t>Health care services to a Medicare or FFM eligible individual under the Medicare Advantage program or Part D program (</w:t>
            </w:r>
            <w:proofErr w:type="gramStart"/>
            <w:r w:rsidRPr="00EF24B2">
              <w:rPr>
                <w:rFonts w:cs="Segoe UI"/>
                <w:szCs w:val="20"/>
              </w:rPr>
              <w:t>e.g.</w:t>
            </w:r>
            <w:proofErr w:type="gramEnd"/>
            <w:r w:rsidRPr="00EF24B2">
              <w:rPr>
                <w:rFonts w:cs="Segoe UI"/>
                <w:szCs w:val="20"/>
              </w:rPr>
              <w:t xml:space="preserve"> independent practice association, pharmacy benefit manager, hospital) </w:t>
            </w:r>
          </w:p>
        </w:tc>
      </w:tr>
      <w:tr w:rsidR="00FB4A37" w14:paraId="0DA6C235" w14:textId="77777777" w:rsidTr="00F87AD6">
        <w:tc>
          <w:tcPr>
            <w:tcW w:w="2245" w:type="dxa"/>
          </w:tcPr>
          <w:p w14:paraId="620CA4B3" w14:textId="65FF18DD" w:rsidR="00FB4A37" w:rsidRDefault="00FB4A37" w:rsidP="00FB4A37">
            <w:r w:rsidRPr="00EF24B2">
              <w:rPr>
                <w:rFonts w:cs="Segoe UI"/>
                <w:b/>
                <w:szCs w:val="20"/>
              </w:rPr>
              <w:t>Downstream Entity</w:t>
            </w:r>
          </w:p>
        </w:tc>
        <w:tc>
          <w:tcPr>
            <w:tcW w:w="8545" w:type="dxa"/>
          </w:tcPr>
          <w:p w14:paraId="1A175F11" w14:textId="0669C40F" w:rsidR="00FB4A37" w:rsidRDefault="00FB4A37" w:rsidP="00FB4A37">
            <w:r w:rsidRPr="00EF24B2">
              <w:rPr>
                <w:rFonts w:cs="Segoe UI"/>
                <w:szCs w:val="20"/>
              </w:rPr>
              <w:t>Any party that enters into a written arrangement, below the level of the arrangement between a sponsor and a First-Tier Entity for provision of administrative services or health care services to a Medicare or FFM eligible individual under the Medicare Advantage program, Part D program or FFM program. (</w:t>
            </w:r>
            <w:proofErr w:type="gramStart"/>
            <w:r w:rsidRPr="00EF24B2">
              <w:rPr>
                <w:rFonts w:cs="Segoe UI"/>
                <w:szCs w:val="20"/>
              </w:rPr>
              <w:t>e.g.</w:t>
            </w:r>
            <w:proofErr w:type="gramEnd"/>
            <w:r w:rsidRPr="00EF24B2">
              <w:rPr>
                <w:rFonts w:cs="Segoe UI"/>
                <w:szCs w:val="20"/>
              </w:rPr>
              <w:t xml:space="preserve"> hospitals within a health system or credentialing verification organization)</w:t>
            </w:r>
          </w:p>
        </w:tc>
      </w:tr>
      <w:tr w:rsidR="00FB4A37" w14:paraId="79CD3C2B" w14:textId="77777777" w:rsidTr="00F87AD6">
        <w:tc>
          <w:tcPr>
            <w:tcW w:w="2245" w:type="dxa"/>
          </w:tcPr>
          <w:p w14:paraId="125C9FA6" w14:textId="22932AE6" w:rsidR="00FB4A37" w:rsidRDefault="00FB4A37" w:rsidP="00FB4A37">
            <w:r w:rsidRPr="00EF24B2">
              <w:rPr>
                <w:rFonts w:cs="Segoe UI"/>
                <w:b/>
                <w:szCs w:val="20"/>
              </w:rPr>
              <w:t>Related Entity</w:t>
            </w:r>
          </w:p>
        </w:tc>
        <w:tc>
          <w:tcPr>
            <w:tcW w:w="8545" w:type="dxa"/>
          </w:tcPr>
          <w:p w14:paraId="06655DD4" w14:textId="02E17CEB" w:rsidR="00FB4A37" w:rsidRDefault="00FB4A37" w:rsidP="00FB4A37">
            <w:r w:rsidRPr="00EF24B2">
              <w:rPr>
                <w:rFonts w:cs="Segoe UI"/>
                <w:szCs w:val="20"/>
              </w:rPr>
              <w:t>Any entity that is related to the sponsor by common ownership or control and either: (1) performs some of the sponsor’s management functions under a contract or delegation; (2) furnishes services to Medicare or FFM eligible individuals under an oral or written agreement; or (3) leases real property or sells materials to the sponsor at a cost of more than $2,500 during a contract period. (42 C.F.R. § 423.501)</w:t>
            </w:r>
          </w:p>
        </w:tc>
      </w:tr>
    </w:tbl>
    <w:p w14:paraId="5A7DE8A0" w14:textId="77777777" w:rsidR="00D9492C" w:rsidRDefault="00D9492C" w:rsidP="00D9492C">
      <w:pPr>
        <w:pStyle w:val="Heading1"/>
      </w:pPr>
      <w:r>
        <w:lastRenderedPageBreak/>
        <w:t>Related Documents</w:t>
      </w:r>
    </w:p>
    <w:p w14:paraId="2C0D3AD9" w14:textId="322305EF" w:rsidR="00FB4A37" w:rsidRDefault="00FB4A37" w:rsidP="008F660C">
      <w:pPr>
        <w:pStyle w:val="NoSpacing"/>
      </w:pPr>
      <w:r>
        <w:t>Effective Lines of Communication Policy</w:t>
      </w:r>
    </w:p>
    <w:p w14:paraId="129770F9" w14:textId="77777777" w:rsidR="00FB4A37" w:rsidRDefault="00FB4A37" w:rsidP="008F660C">
      <w:pPr>
        <w:pStyle w:val="NoSpacing"/>
      </w:pPr>
      <w:r>
        <w:t>FDR Identification, Monitoring and Oversight Policy</w:t>
      </w:r>
    </w:p>
    <w:p w14:paraId="56D5C7A3" w14:textId="77777777" w:rsidR="00FB4A37" w:rsidRDefault="00FB4A37" w:rsidP="008F660C">
      <w:pPr>
        <w:pStyle w:val="NoSpacing"/>
      </w:pPr>
      <w:r>
        <w:t>Risk Assessment Practice Policy</w:t>
      </w:r>
    </w:p>
    <w:p w14:paraId="6258A77B" w14:textId="77777777" w:rsidR="00FB4A37" w:rsidRDefault="00FB4A37" w:rsidP="008F660C">
      <w:pPr>
        <w:pStyle w:val="NoSpacing"/>
      </w:pPr>
      <w:r>
        <w:t>Compliance Program Investigations Policy</w:t>
      </w:r>
    </w:p>
    <w:p w14:paraId="7E1E0FC4" w14:textId="77777777" w:rsidR="00FB4A37" w:rsidRDefault="00FB4A37" w:rsidP="008F660C">
      <w:pPr>
        <w:pStyle w:val="NoSpacing"/>
      </w:pPr>
      <w:r>
        <w:t>Mandatory Exclusion Screening Policy</w:t>
      </w:r>
    </w:p>
    <w:p w14:paraId="2B52227C" w14:textId="6433CBEC" w:rsidR="00D9492C" w:rsidRDefault="00D9492C" w:rsidP="00D9492C"/>
    <w:p w14:paraId="0901B928" w14:textId="77777777" w:rsidR="00D9492C" w:rsidRDefault="00D9492C" w:rsidP="00D9492C">
      <w:pPr>
        <w:pStyle w:val="Heading1"/>
      </w:pPr>
      <w:r>
        <w:t>Requirements</w:t>
      </w:r>
    </w:p>
    <w:p w14:paraId="7D6E3C76" w14:textId="36832245" w:rsidR="00FB4A37" w:rsidRDefault="00FB4A37" w:rsidP="008F660C">
      <w:pPr>
        <w:pStyle w:val="NoSpacing"/>
        <w:rPr>
          <w:b/>
          <w:bCs/>
          <w:i/>
          <w:iCs/>
        </w:rPr>
      </w:pPr>
      <w:r>
        <w:t>42 CFR §§ 422.503(b)(4)(vi)(E) and 423.504(b)(4)(vi)(E)</w:t>
      </w:r>
    </w:p>
    <w:p w14:paraId="09126D83" w14:textId="77777777" w:rsidR="00FB4A37" w:rsidRDefault="00FB4A37" w:rsidP="008F660C">
      <w:pPr>
        <w:pStyle w:val="NoSpacing"/>
        <w:rPr>
          <w:b/>
          <w:bCs/>
          <w:i/>
          <w:iCs/>
        </w:rPr>
      </w:pPr>
      <w:r>
        <w:t>42 CFR §§ 422.503(b)(4)(vi)(F) and 423.504(b)(4)(vi)(F)</w:t>
      </w:r>
    </w:p>
    <w:p w14:paraId="22FFEAC5" w14:textId="77777777" w:rsidR="00FB4A37" w:rsidRDefault="00FB4A37" w:rsidP="008F660C">
      <w:pPr>
        <w:pStyle w:val="NoSpacing"/>
        <w:rPr>
          <w:b/>
          <w:bCs/>
          <w:i/>
          <w:iCs/>
        </w:rPr>
      </w:pPr>
      <w:r>
        <w:t>Medicare Managed Care Manual Chapter 21 – Compliance Program Guidelines</w:t>
      </w:r>
    </w:p>
    <w:p w14:paraId="4EDE598A" w14:textId="77777777" w:rsidR="00FB4A37" w:rsidRDefault="00FB4A37" w:rsidP="008F660C">
      <w:pPr>
        <w:pStyle w:val="NoSpacing"/>
      </w:pPr>
      <w:r>
        <w:t xml:space="preserve">Prescription Drug Benefit Manual Chapter 9 – Compliance Program Guidelines </w:t>
      </w:r>
    </w:p>
    <w:p w14:paraId="2228D94C" w14:textId="2229BEA2" w:rsidR="00D9492C" w:rsidRDefault="00FB4A37" w:rsidP="00FB4A37">
      <w:r>
        <w:t>OIG Work Plan</w:t>
      </w:r>
    </w:p>
    <w:p w14:paraId="14250111" w14:textId="77777777" w:rsidR="00D9492C" w:rsidRDefault="00D9492C" w:rsidP="00D9492C">
      <w:pPr>
        <w:pStyle w:val="Heading1"/>
      </w:pPr>
      <w:r>
        <w:t>Procedure</w:t>
      </w:r>
    </w:p>
    <w:p w14:paraId="0FABB932" w14:textId="77777777" w:rsidR="00FB4A37" w:rsidRPr="008F660C" w:rsidRDefault="00FB4A37" w:rsidP="008F660C">
      <w:pPr>
        <w:pStyle w:val="NoSpacing"/>
        <w:rPr>
          <w:u w:val="single"/>
        </w:rPr>
      </w:pPr>
      <w:r w:rsidRPr="008F660C">
        <w:rPr>
          <w:u w:val="single"/>
        </w:rPr>
        <w:t>Compliance Auditing and Monitoring</w:t>
      </w:r>
    </w:p>
    <w:p w14:paraId="49EC71CE" w14:textId="3603187B" w:rsidR="00FB4A37" w:rsidRPr="0072336D" w:rsidRDefault="00FB4A37" w:rsidP="008F660C">
      <w:pPr>
        <w:pStyle w:val="NoSpacing"/>
      </w:pPr>
      <w:r w:rsidRPr="0072336D">
        <w:t>The Compliance Department is responsible for planning and executing internal compliance audits. An annual Auditing and Monitoring Work Plan is maintained and controlled in Compliance and provides a reference for all current and ongoing auditing and monitoring activities that take place in the calendar year. The Compliance Department must regularly update the grid with completion and start dates of the activities. The work plan will be reviewed and approved annually by the Compliance Committee.</w:t>
      </w:r>
    </w:p>
    <w:p w14:paraId="2FCEE7F3" w14:textId="77777777" w:rsidR="0072336D" w:rsidRDefault="0072336D" w:rsidP="008F660C">
      <w:pPr>
        <w:pStyle w:val="NoSpacing"/>
      </w:pPr>
    </w:p>
    <w:p w14:paraId="0ED6BFFC" w14:textId="77777777" w:rsidR="00FB4A37" w:rsidRDefault="00FB4A37" w:rsidP="00FB4A37">
      <w:pPr>
        <w:rPr>
          <w:lang w:eastAsia="x-none"/>
        </w:rPr>
      </w:pPr>
      <w:r>
        <w:rPr>
          <w:lang w:eastAsia="x-none"/>
        </w:rPr>
        <w:t xml:space="preserve">A risk assessment will be conducted annually to determine compliance risk areas related to requirements with federal and state laws, as well as evaluating the risk of fraud, </w:t>
      </w:r>
      <w:proofErr w:type="gramStart"/>
      <w:r>
        <w:rPr>
          <w:lang w:eastAsia="x-none"/>
        </w:rPr>
        <w:t>waste</w:t>
      </w:r>
      <w:proofErr w:type="gramEnd"/>
      <w:r>
        <w:rPr>
          <w:lang w:eastAsia="x-none"/>
        </w:rPr>
        <w:t xml:space="preserve"> and abuse. Risk areas determined to be a severe or immediate compliance risk will take precedence in the audit schedule. Details can be found in the Risk Assessment Practice policy. To mitigate fraud, waste and abuse, Compliance will annually assess the OIG Work Plan, audit findings of other organizations, CMS audit findings, current compliance risks, and previous compliance history of our organization, and incorporate into the Risk Assessment and Auditing and Monitoring Work Plan. </w:t>
      </w:r>
    </w:p>
    <w:p w14:paraId="5F8FD959" w14:textId="77777777" w:rsidR="00FB4A37" w:rsidRDefault="00FB4A37" w:rsidP="00FB4A37">
      <w:pPr>
        <w:rPr>
          <w:lang w:eastAsia="x-none"/>
        </w:rPr>
      </w:pPr>
      <w:r>
        <w:rPr>
          <w:lang w:eastAsia="x-none"/>
        </w:rPr>
        <w:t xml:space="preserve">Auditing and monitoring activities are assigned based on knowledge and expertise of reviewers, as well as resource availability and timing. The Compliance Department will prepare for audits by reviewing applicable policies and procedures, work instructions, records, previous audit reports, and applicable state and federal regulations. Compliance will have access to relevant data, records, and information under review, including at the FDR level, when performing auditing and monitoring activities. </w:t>
      </w:r>
    </w:p>
    <w:p w14:paraId="2C920B04" w14:textId="77777777" w:rsidR="00FB4A37" w:rsidRDefault="00FB4A37" w:rsidP="00FB4A37">
      <w:pPr>
        <w:rPr>
          <w:lang w:eastAsia="x-none"/>
        </w:rPr>
      </w:pPr>
      <w:r>
        <w:rPr>
          <w:lang w:eastAsia="x-none"/>
        </w:rPr>
        <w:t xml:space="preserve">When Compliance audits or monitors another internal department (or entity, in the case of FDRs), the Director or Manager of the department audited will be informed of the findings of the audit via email with report attachments. The Compliance Department will be responsible for documentation and tracking of all auditing and monitoring activities and reporting results to the Compliance Officer(s) and Compliance Committee. </w:t>
      </w:r>
    </w:p>
    <w:p w14:paraId="73945BE4" w14:textId="1C2BCCEC" w:rsidR="00FB4A37" w:rsidRPr="00FB4A37" w:rsidRDefault="00FB4A37" w:rsidP="00FB4A37">
      <w:pPr>
        <w:jc w:val="both"/>
        <w:rPr>
          <w:rFonts w:cs="Arial"/>
        </w:rPr>
      </w:pPr>
      <w:r>
        <w:rPr>
          <w:rFonts w:cs="Arial"/>
        </w:rPr>
        <w:t>Audit methodology and scope will include appropriate methods for selecting operational areas or entities for audit, determining sample sizes, extrapolation of audit findings in compliance with generally accepted auditing standards, and application of targeted or stratified sampling methods. Audits will include an assessment of compliance with policies and procedures of the companies, as well as federal and state regulatory requirements.</w:t>
      </w:r>
    </w:p>
    <w:p w14:paraId="1D96255A" w14:textId="77777777" w:rsidR="00FB4A37" w:rsidRDefault="00FB4A37" w:rsidP="00FB4A37">
      <w:pPr>
        <w:rPr>
          <w:u w:val="single"/>
          <w:lang w:eastAsia="x-none"/>
        </w:rPr>
      </w:pPr>
      <w:r>
        <w:rPr>
          <w:u w:val="single"/>
          <w:lang w:eastAsia="x-none"/>
        </w:rPr>
        <w:t>Compliance Program Effectiveness Audit</w:t>
      </w:r>
    </w:p>
    <w:p w14:paraId="2423BA59" w14:textId="77777777" w:rsidR="00FB4A37" w:rsidRDefault="00FB4A37" w:rsidP="00FB4A37">
      <w:pPr>
        <w:rPr>
          <w:lang w:eastAsia="x-none"/>
        </w:rPr>
      </w:pPr>
      <w:r>
        <w:rPr>
          <w:lang w:eastAsia="x-none"/>
        </w:rPr>
        <w:lastRenderedPageBreak/>
        <w:t xml:space="preserve">The effectiveness of the compliance program is evaluated annually by an external source, as required by CMS. The Compliance Department will provide documentation, policies and procedures, and data universes to the external contractor for review. The results and the formal audit report are shared with the Compliance Officer(s), Compliance Committee, and board Audit Committee. Any findings that require corrective action will be addressed by Compliance.  </w:t>
      </w:r>
    </w:p>
    <w:p w14:paraId="09B0BB35" w14:textId="77777777" w:rsidR="00FB4A37" w:rsidRPr="008F660C" w:rsidRDefault="00FB4A37" w:rsidP="008F660C">
      <w:pPr>
        <w:pStyle w:val="NoSpacing"/>
        <w:rPr>
          <w:u w:val="single"/>
        </w:rPr>
      </w:pPr>
      <w:r w:rsidRPr="008F660C">
        <w:rPr>
          <w:u w:val="single"/>
        </w:rPr>
        <w:t>FDR Auditing and Monitoring</w:t>
      </w:r>
    </w:p>
    <w:p w14:paraId="5C0A8FAF" w14:textId="77777777" w:rsidR="00FB4A37" w:rsidRDefault="00FB4A37" w:rsidP="008F660C">
      <w:pPr>
        <w:pStyle w:val="NoSpacing"/>
      </w:pPr>
      <w:r>
        <w:t xml:space="preserve">Auditing and Monitoring of FDRs includes testing their compliance with Part C and D regulations, Federally Facilitated Marketplace regulations, sub-regulatory guidance, contractual agreements, applicable Federal and state laws, and internal policies and procedures and the Code of Conduct. Monitoring and auditing FDRs will also include testing for fraud, </w:t>
      </w:r>
      <w:proofErr w:type="gramStart"/>
      <w:r>
        <w:t>waste</w:t>
      </w:r>
      <w:proofErr w:type="gramEnd"/>
      <w:r>
        <w:t xml:space="preserve"> and abuse. Details can be found in the FDR Identification, Monitoring and Oversight policy. </w:t>
      </w:r>
    </w:p>
    <w:p w14:paraId="1C370597" w14:textId="17C7B2D8" w:rsidR="00FB4A37" w:rsidRDefault="00FB4A37" w:rsidP="00FB4A37">
      <w:pPr>
        <w:rPr>
          <w:lang w:eastAsia="x-none"/>
        </w:rPr>
      </w:pPr>
      <w:r>
        <w:rPr>
          <w:lang w:eastAsia="x-none"/>
        </w:rPr>
        <w:t xml:space="preserve">Compliance must develop, enforce, and publicize standards that clearly convey the expectation that FDRs are to report auditing and monitoring activities, and report compliance issues along with their resolution to Compliance. </w:t>
      </w:r>
    </w:p>
    <w:p w14:paraId="159361AE" w14:textId="7131D25E" w:rsidR="0072336D" w:rsidRPr="008F660C" w:rsidRDefault="0072336D" w:rsidP="008F660C">
      <w:pPr>
        <w:pStyle w:val="NoSpacing"/>
        <w:rPr>
          <w:u w:val="single"/>
        </w:rPr>
      </w:pPr>
      <w:r w:rsidRPr="008F660C">
        <w:rPr>
          <w:u w:val="single"/>
        </w:rPr>
        <w:t>Deconfliction with DHS for the Medicaid Line of Business</w:t>
      </w:r>
    </w:p>
    <w:p w14:paraId="600E2F7D" w14:textId="48DF8A2F" w:rsidR="0072336D" w:rsidRPr="0072336D" w:rsidRDefault="0072336D" w:rsidP="008F660C">
      <w:pPr>
        <w:pStyle w:val="NoSpacing"/>
      </w:pPr>
      <w:r w:rsidRPr="0072336D">
        <w:t>Quartz collaborates with DHS OIG and DHS OIG’s contracted P</w:t>
      </w:r>
      <w:r>
        <w:t>rogram Integrity</w:t>
      </w:r>
      <w:r w:rsidRPr="0072336D">
        <w:t xml:space="preserve"> vendors on all matters related to audits including, but not limited to coordinating deconfliction efforts relative to scope and sample to prevent a duplication of audit efforts between DHS OIG and Quartz. DHS OIG notifies Quartz by email and uploads a deconfliction spreadsheet to the HMO SharePoint for each network provider audit. The deconfliction spreadsheet contains the scope and sample information pertaining to the potential audit. Within 10 business days, Quartz SIU reviews and responds to the deconfliction spreadsheet. All responses are uploaded to the HMO SharePoint site. In its response, Quartz indicates whether the SIU is currently investigating the providers and provider types indicated on the deconfliction spreadsheet. If confliction is noted, DHS OIG removes any conflicting information from the audit and Quartz SIU continues with the investigation as planned. </w:t>
      </w:r>
    </w:p>
    <w:p w14:paraId="6324D87E" w14:textId="77777777" w:rsidR="0072336D" w:rsidRPr="0072336D" w:rsidRDefault="0072336D" w:rsidP="008F660C">
      <w:pPr>
        <w:pStyle w:val="NoSpacing"/>
      </w:pPr>
    </w:p>
    <w:p w14:paraId="05DE439B" w14:textId="77777777" w:rsidR="00FB4A37" w:rsidRPr="008F660C" w:rsidRDefault="00FB4A37" w:rsidP="008F660C">
      <w:pPr>
        <w:pStyle w:val="NoSpacing"/>
        <w:rPr>
          <w:u w:val="single"/>
        </w:rPr>
      </w:pPr>
      <w:r w:rsidRPr="008F660C">
        <w:rPr>
          <w:u w:val="single"/>
        </w:rPr>
        <w:t>Internal Departmental Auditing and Monitoring</w:t>
      </w:r>
    </w:p>
    <w:p w14:paraId="3AD44B4E" w14:textId="77777777" w:rsidR="00FB4A37" w:rsidRDefault="00FB4A37" w:rsidP="008F660C">
      <w:pPr>
        <w:pStyle w:val="NoSpacing"/>
      </w:pPr>
      <w:r>
        <w:t xml:space="preserve">The Internal Audit Department is responsible for performing financial and regulatory audits on behalf of the companies and acts as an independent operator in order to prevent self-policing. </w:t>
      </w:r>
    </w:p>
    <w:p w14:paraId="7D59B970" w14:textId="77777777" w:rsidR="00FB4A37" w:rsidRDefault="00FB4A37" w:rsidP="00FB4A37">
      <w:pPr>
        <w:rPr>
          <w:rFonts w:cs="Arial"/>
          <w:sz w:val="24"/>
          <w:lang w:eastAsia="x-none"/>
        </w:rPr>
      </w:pPr>
      <w:r>
        <w:rPr>
          <w:rFonts w:cs="Arial"/>
          <w:szCs w:val="20"/>
        </w:rPr>
        <w:t>The Internal Audit Department as well as individual departments of the companies that perform auditing and monitoring activities within their department, across departments, or of a vendor or contractor must follow the below procedure:</w:t>
      </w:r>
    </w:p>
    <w:p w14:paraId="762BF02D" w14:textId="77777777" w:rsidR="00FB4A37" w:rsidRDefault="00FB4A37" w:rsidP="00FB4A37">
      <w:pPr>
        <w:numPr>
          <w:ilvl w:val="0"/>
          <w:numId w:val="7"/>
        </w:numPr>
        <w:spacing w:after="0" w:line="240" w:lineRule="auto"/>
        <w:rPr>
          <w:rFonts w:cs="Arial"/>
          <w:lang w:eastAsia="x-none"/>
        </w:rPr>
      </w:pPr>
      <w:r>
        <w:rPr>
          <w:rFonts w:cs="Arial"/>
          <w:lang w:eastAsia="x-none"/>
        </w:rPr>
        <w:t xml:space="preserve">After completion of the audit or monitoring activity, complete a </w:t>
      </w:r>
      <w:hyperlink r:id="rId12" w:history="1">
        <w:r>
          <w:rPr>
            <w:rStyle w:val="Hyperlink"/>
            <w:rFonts w:cs="Arial"/>
            <w:lang w:eastAsia="x-none"/>
          </w:rPr>
          <w:t>Compliance Audit Summary Form</w:t>
        </w:r>
      </w:hyperlink>
      <w:r>
        <w:rPr>
          <w:rFonts w:cs="Arial"/>
          <w:lang w:eastAsia="x-none"/>
        </w:rPr>
        <w:t xml:space="preserve">. If daily monitoring occurs, roll up the results into a weekly or monthly Summary Form for submission to Compliance. </w:t>
      </w:r>
    </w:p>
    <w:p w14:paraId="0EA9DD2C" w14:textId="77777777" w:rsidR="00FB4A37" w:rsidRDefault="00FB4A37" w:rsidP="00FB4A37">
      <w:pPr>
        <w:numPr>
          <w:ilvl w:val="0"/>
          <w:numId w:val="7"/>
        </w:numPr>
        <w:spacing w:after="0" w:line="240" w:lineRule="auto"/>
        <w:rPr>
          <w:rFonts w:cs="Arial"/>
          <w:lang w:eastAsia="x-none"/>
        </w:rPr>
      </w:pPr>
      <w:r>
        <w:rPr>
          <w:rFonts w:cs="Arial"/>
          <w:lang w:eastAsia="x-none"/>
        </w:rPr>
        <w:t xml:space="preserve">Send the completed form and any supporting documentation to the Compliance Department via email. </w:t>
      </w:r>
    </w:p>
    <w:p w14:paraId="259686FA" w14:textId="77777777" w:rsidR="00FB4A37" w:rsidRDefault="00FB4A37" w:rsidP="00FB4A37">
      <w:pPr>
        <w:numPr>
          <w:ilvl w:val="0"/>
          <w:numId w:val="7"/>
        </w:numPr>
        <w:spacing w:after="0" w:line="240" w:lineRule="auto"/>
        <w:rPr>
          <w:rFonts w:cs="Arial"/>
          <w:lang w:eastAsia="x-none"/>
        </w:rPr>
      </w:pPr>
      <w:r>
        <w:rPr>
          <w:rFonts w:cs="Arial"/>
          <w:lang w:eastAsia="x-none"/>
        </w:rPr>
        <w:t xml:space="preserve">Compliance will review the audit results and evaluate the need for corrective actions for any issues identified by the Summary Form. </w:t>
      </w:r>
    </w:p>
    <w:p w14:paraId="1AC4DBD2" w14:textId="77777777" w:rsidR="00FB4A37" w:rsidRDefault="00FB4A37" w:rsidP="00FB4A37">
      <w:pPr>
        <w:numPr>
          <w:ilvl w:val="0"/>
          <w:numId w:val="7"/>
        </w:numPr>
        <w:spacing w:after="0" w:line="240" w:lineRule="auto"/>
        <w:rPr>
          <w:rFonts w:cs="Arial"/>
          <w:lang w:eastAsia="x-none"/>
        </w:rPr>
      </w:pPr>
      <w:r>
        <w:rPr>
          <w:rFonts w:cs="Arial"/>
          <w:lang w:eastAsia="x-none"/>
        </w:rPr>
        <w:t xml:space="preserve">If corrective action is necessary, Compliance will send a </w:t>
      </w:r>
      <w:hyperlink r:id="rId13" w:history="1">
        <w:r>
          <w:rPr>
            <w:rStyle w:val="Hyperlink"/>
            <w:rFonts w:cs="Arial"/>
            <w:lang w:eastAsia="x-none"/>
          </w:rPr>
          <w:t>Corrective Action Plan Form</w:t>
        </w:r>
      </w:hyperlink>
      <w:r>
        <w:rPr>
          <w:rFonts w:cs="Arial"/>
          <w:lang w:eastAsia="x-none"/>
        </w:rPr>
        <w:t xml:space="preserve"> </w:t>
      </w:r>
      <w:r>
        <w:rPr>
          <w:rFonts w:eastAsia="Segoe UI Emoji" w:cs="Arial"/>
          <w:lang w:eastAsia="x-none"/>
        </w:rPr>
        <w:t xml:space="preserve">for the department to complete. </w:t>
      </w:r>
      <w:r>
        <w:rPr>
          <w:rFonts w:cs="Arial"/>
          <w:lang w:eastAsia="x-none"/>
        </w:rPr>
        <w:t xml:space="preserve"> </w:t>
      </w:r>
    </w:p>
    <w:p w14:paraId="0D31C735" w14:textId="77777777" w:rsidR="00FB4A37" w:rsidRDefault="00FB4A37" w:rsidP="00FB4A37">
      <w:pPr>
        <w:numPr>
          <w:ilvl w:val="0"/>
          <w:numId w:val="7"/>
        </w:numPr>
        <w:spacing w:after="0" w:line="240" w:lineRule="auto"/>
        <w:rPr>
          <w:rFonts w:cs="Arial"/>
          <w:lang w:eastAsia="x-none"/>
        </w:rPr>
      </w:pPr>
      <w:r>
        <w:rPr>
          <w:rFonts w:cs="Arial"/>
          <w:lang w:eastAsia="x-none"/>
        </w:rPr>
        <w:t xml:space="preserve">Compliance will monitor and follow up on corrective action items in order to validate that appropriate resolution has occurred before closing out the corrective action item. </w:t>
      </w:r>
    </w:p>
    <w:p w14:paraId="49B3ED68" w14:textId="77777777" w:rsidR="00FB4A37" w:rsidRDefault="00FB4A37" w:rsidP="00FB4A37">
      <w:pPr>
        <w:numPr>
          <w:ilvl w:val="0"/>
          <w:numId w:val="7"/>
        </w:numPr>
        <w:spacing w:after="0" w:line="240" w:lineRule="auto"/>
        <w:rPr>
          <w:rFonts w:cs="Arial"/>
          <w:lang w:eastAsia="x-none"/>
        </w:rPr>
      </w:pPr>
      <w:r>
        <w:rPr>
          <w:rFonts w:cs="Arial"/>
          <w:lang w:eastAsia="x-none"/>
        </w:rPr>
        <w:t>All corrective action items will be reported to the Compliance Officer(s) and Compliance Committee, detailing the effectiveness and the status of corrective actions taken.</w:t>
      </w:r>
    </w:p>
    <w:p w14:paraId="16A78E9E" w14:textId="77777777" w:rsidR="00FB4A37" w:rsidRDefault="00FB4A37" w:rsidP="00FB4A37">
      <w:pPr>
        <w:rPr>
          <w:lang w:eastAsia="x-none"/>
        </w:rPr>
      </w:pPr>
    </w:p>
    <w:p w14:paraId="35170317" w14:textId="77777777" w:rsidR="00FB4A37" w:rsidRPr="008F660C" w:rsidRDefault="00FB4A37" w:rsidP="008F660C">
      <w:pPr>
        <w:pStyle w:val="NoSpacing"/>
        <w:rPr>
          <w:u w:val="single"/>
        </w:rPr>
      </w:pPr>
      <w:r w:rsidRPr="008F660C">
        <w:rPr>
          <w:u w:val="single"/>
        </w:rPr>
        <w:t>Reporting to Committees</w:t>
      </w:r>
    </w:p>
    <w:p w14:paraId="731A5B94" w14:textId="6FBD3F2A" w:rsidR="00FA1267" w:rsidRDefault="00FB4A37" w:rsidP="008F660C">
      <w:pPr>
        <w:pStyle w:val="NoSpacing"/>
      </w:pPr>
      <w:r>
        <w:t>It is the responsibility of the Compliance Officer(s) to provide updates on the results of monitoring and auditing activities to the Compliance Committee and the board Audit Committee. The Compliance Officer(s) will provide updates on a quarterly basis.</w:t>
      </w:r>
    </w:p>
    <w:sectPr w:rsidR="00FA1267"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2AA38B02" w:rsidR="000E3155" w:rsidRDefault="000E3155">
    <w:pPr>
      <w:pStyle w:val="Footer"/>
    </w:pPr>
    <w:r>
      <w:t xml:space="preserve">Form Version 13   </w:t>
    </w:r>
    <w:r>
      <w:fldChar w:fldCharType="begin"/>
    </w:r>
    <w:r>
      <w:instrText xml:space="preserve"> SAVEDATE  \@ "M/d/yyyy"  \* MERGEFORMAT </w:instrText>
    </w:r>
    <w:r>
      <w:fldChar w:fldCharType="separate"/>
    </w:r>
    <w:r w:rsidR="008652AB">
      <w:rPr>
        <w:noProof/>
      </w:rPr>
      <w:t>11/29/2023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6D1C34FD" w:rsidR="000E3155" w:rsidRPr="00317F21" w:rsidRDefault="008652AB" w:rsidP="001731C1">
    <w:pPr>
      <w:spacing w:after="0" w:line="240" w:lineRule="auto"/>
      <w:ind w:right="3600"/>
      <w:rPr>
        <w:rFonts w:eastAsia="Times New Roman" w:cs="Times New Roman"/>
        <w:b/>
        <w:noProof/>
        <w:sz w:val="32"/>
        <w:szCs w:val="32"/>
        <w:lang w:val="x-none" w:eastAsia="x-none"/>
      </w:rPr>
    </w:pPr>
    <w:sdt>
      <w:sdtPr>
        <w:rPr>
          <w:rFonts w:eastAsia="Times New Roman" w:cs="Times New Roman"/>
          <w:b/>
          <w:noProof/>
          <w:sz w:val="28"/>
          <w:szCs w:val="32"/>
          <w:lang w:val="x-none" w:eastAsia="x-none"/>
        </w:rPr>
        <w:id w:val="726954599"/>
        <w:placeholder>
          <w:docPart w:val="04AA4702C63A4BD6A58C87B016D057BC"/>
        </w:placeholder>
        <w15:appearance w15:val="hidden"/>
      </w:sdtPr>
      <w:sdtEndPr/>
      <w:sdtContent>
        <w:r w:rsidR="00FB4A37">
          <w:rPr>
            <w:rFonts w:eastAsia="Times New Roman" w:cs="Times New Roman"/>
            <w:b/>
            <w:noProof/>
            <w:sz w:val="28"/>
            <w:szCs w:val="32"/>
            <w:lang w:eastAsia="x-none"/>
          </w:rPr>
          <w:t>Compliance Auditing and Monitoring</w:t>
        </w:r>
      </w:sdtContent>
    </w:sdt>
  </w:p>
  <w:p w14:paraId="1FFAC004" w14:textId="1ACED1B5" w:rsidR="000E3155" w:rsidRPr="00317F21"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11-28T00:00:00Z">
          <w:dateFormat w:val="M/d/yyyy"/>
          <w:lid w:val="en-US"/>
          <w:storeMappedDataAs w:val="dateTime"/>
          <w:calendar w:val="gregorian"/>
        </w:date>
      </w:sdtPr>
      <w:sdtEndPr/>
      <w:sdtContent>
        <w:r w:rsidR="00FB4A37" w:rsidRPr="008F660C">
          <w:rPr>
            <w:rFonts w:eastAsia="Times New Roman" w:cs="Times New Roman"/>
            <w:szCs w:val="20"/>
            <w:lang w:eastAsia="x-none"/>
          </w:rPr>
          <w:t>11/2</w:t>
        </w:r>
        <w:r w:rsidR="00B64F30" w:rsidRPr="008F660C">
          <w:rPr>
            <w:rFonts w:eastAsia="Times New Roman" w:cs="Times New Roman"/>
            <w:szCs w:val="20"/>
            <w:lang w:eastAsia="x-none"/>
          </w:rPr>
          <w:t>8</w:t>
        </w:r>
        <w:r w:rsidR="00FB4A37" w:rsidRPr="008F660C">
          <w:rPr>
            <w:rFonts w:eastAsia="Times New Roman" w:cs="Times New Roman"/>
            <w:szCs w:val="20"/>
            <w:lang w:eastAsia="x-none"/>
          </w:rPr>
          <w:t>/2023</w:t>
        </w:r>
      </w:sdtContent>
    </w:sdt>
  </w:p>
  <w:p w14:paraId="71A52F9E" w14:textId="0F603236" w:rsidR="000E3155" w:rsidRPr="001731C1" w:rsidRDefault="000E3155" w:rsidP="001731C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FB4A37">
          <w:rPr>
            <w:rFonts w:eastAsia="Times New Roman" w:cs="Times New Roman"/>
            <w:b/>
            <w:szCs w:val="20"/>
            <w:lang w:eastAsia="x-none"/>
          </w:rPr>
          <w:t>C.026</w:t>
        </w:r>
      </w:sdtContent>
    </w:sdt>
    <w:r w:rsidRPr="00317F21">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684298" w:displacedByCustomXml="next"/>
  <w:bookmarkStart w:id="2" w:name="_Hlk16684299" w:displacedByCustomXml="next"/>
  <w:bookmarkStart w:id="3" w:name="_Hlk16684300" w:displacedByCustomXml="next"/>
  <w:bookmarkStart w:id="4" w:name="_Hlk16684301" w:displacedByCustomXml="next"/>
  <w:bookmarkStart w:id="5" w:name="_Hlk16684302" w:displacedByCustomXml="next"/>
  <w:bookmarkStart w:id="6" w:name="_Hlk16684303" w:displacedByCustomXml="next"/>
  <w:bookmarkStart w:id="7" w:name="_Hlk16771052" w:displacedByCustomXml="next"/>
  <w:bookmarkStart w:id="8" w:name="_Hlk16771053" w:displacedByCustomXml="next"/>
  <w:bookmarkStart w:id="9" w:name="_Hlk16771054" w:displacedByCustomXml="next"/>
  <w:bookmarkStart w:id="10" w:name="_Hlk16771055" w:displacedByCustomXml="next"/>
  <w:bookmarkStart w:id="11" w:name="_Hlk16771056" w:displacedByCustomXml="next"/>
  <w:bookmarkStart w:id="12" w:name="_Hlk16771057"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20302"/>
    <w:multiLevelType w:val="hybridMultilevel"/>
    <w:tmpl w:val="41A83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E7150"/>
    <w:multiLevelType w:val="multilevel"/>
    <w:tmpl w:val="4BB49DB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40763FDF"/>
    <w:multiLevelType w:val="hybridMultilevel"/>
    <w:tmpl w:val="8336583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F9034C3"/>
    <w:multiLevelType w:val="hybridMultilevel"/>
    <w:tmpl w:val="B10237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68779462">
    <w:abstractNumId w:val="2"/>
  </w:num>
  <w:num w:numId="2" w16cid:durableId="737283697">
    <w:abstractNumId w:val="1"/>
  </w:num>
  <w:num w:numId="3" w16cid:durableId="1609703814">
    <w:abstractNumId w:val="0"/>
  </w:num>
  <w:num w:numId="4" w16cid:durableId="451828683">
    <w:abstractNumId w:val="4"/>
  </w:num>
  <w:num w:numId="5" w16cid:durableId="794325039">
    <w:abstractNumId w:val="7"/>
  </w:num>
  <w:num w:numId="6" w16cid:durableId="106702806">
    <w:abstractNumId w:val="3"/>
  </w:num>
  <w:num w:numId="7" w16cid:durableId="1217936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68465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4D67"/>
    <w:rsid w:val="000564AE"/>
    <w:rsid w:val="000647CC"/>
    <w:rsid w:val="0006710C"/>
    <w:rsid w:val="00082313"/>
    <w:rsid w:val="000838F0"/>
    <w:rsid w:val="00085C1B"/>
    <w:rsid w:val="00091E70"/>
    <w:rsid w:val="00097B55"/>
    <w:rsid w:val="000B18A4"/>
    <w:rsid w:val="000B353E"/>
    <w:rsid w:val="000B46ED"/>
    <w:rsid w:val="000C7FF4"/>
    <w:rsid w:val="000D0B19"/>
    <w:rsid w:val="000E3155"/>
    <w:rsid w:val="000E4E50"/>
    <w:rsid w:val="00105632"/>
    <w:rsid w:val="001203D9"/>
    <w:rsid w:val="001256E4"/>
    <w:rsid w:val="00170BC5"/>
    <w:rsid w:val="001731C1"/>
    <w:rsid w:val="00183F19"/>
    <w:rsid w:val="00186E3D"/>
    <w:rsid w:val="00193AC4"/>
    <w:rsid w:val="001C4DBA"/>
    <w:rsid w:val="001D1780"/>
    <w:rsid w:val="001E1545"/>
    <w:rsid w:val="001F29BA"/>
    <w:rsid w:val="001F4D8C"/>
    <w:rsid w:val="001F4E48"/>
    <w:rsid w:val="00210990"/>
    <w:rsid w:val="00242BAF"/>
    <w:rsid w:val="00252874"/>
    <w:rsid w:val="00253D15"/>
    <w:rsid w:val="002552F1"/>
    <w:rsid w:val="00261EE1"/>
    <w:rsid w:val="0027042B"/>
    <w:rsid w:val="00271672"/>
    <w:rsid w:val="00280659"/>
    <w:rsid w:val="0028098F"/>
    <w:rsid w:val="00297739"/>
    <w:rsid w:val="002D461D"/>
    <w:rsid w:val="00302D37"/>
    <w:rsid w:val="00307BF4"/>
    <w:rsid w:val="0031039E"/>
    <w:rsid w:val="003149B9"/>
    <w:rsid w:val="00317F21"/>
    <w:rsid w:val="0032134B"/>
    <w:rsid w:val="00324844"/>
    <w:rsid w:val="00334860"/>
    <w:rsid w:val="0033513B"/>
    <w:rsid w:val="0033776F"/>
    <w:rsid w:val="003552A1"/>
    <w:rsid w:val="00374918"/>
    <w:rsid w:val="00397639"/>
    <w:rsid w:val="003A25F6"/>
    <w:rsid w:val="003A44AE"/>
    <w:rsid w:val="003A7E3B"/>
    <w:rsid w:val="003B3687"/>
    <w:rsid w:val="003C2375"/>
    <w:rsid w:val="003C25B5"/>
    <w:rsid w:val="003C6644"/>
    <w:rsid w:val="003D7EFF"/>
    <w:rsid w:val="003E4166"/>
    <w:rsid w:val="003E7CCA"/>
    <w:rsid w:val="0041371C"/>
    <w:rsid w:val="00421F06"/>
    <w:rsid w:val="00426345"/>
    <w:rsid w:val="00435001"/>
    <w:rsid w:val="00441166"/>
    <w:rsid w:val="00465E0B"/>
    <w:rsid w:val="004663EE"/>
    <w:rsid w:val="0047113F"/>
    <w:rsid w:val="00472DCC"/>
    <w:rsid w:val="00474CB0"/>
    <w:rsid w:val="004812FF"/>
    <w:rsid w:val="004D515D"/>
    <w:rsid w:val="004F32B0"/>
    <w:rsid w:val="00506E2A"/>
    <w:rsid w:val="00530EF4"/>
    <w:rsid w:val="005335B3"/>
    <w:rsid w:val="00540B01"/>
    <w:rsid w:val="00542492"/>
    <w:rsid w:val="00547294"/>
    <w:rsid w:val="00560E5B"/>
    <w:rsid w:val="005742BE"/>
    <w:rsid w:val="00577310"/>
    <w:rsid w:val="00577E75"/>
    <w:rsid w:val="00593654"/>
    <w:rsid w:val="00596565"/>
    <w:rsid w:val="005A4198"/>
    <w:rsid w:val="005A6628"/>
    <w:rsid w:val="005A732F"/>
    <w:rsid w:val="005B0130"/>
    <w:rsid w:val="005F5115"/>
    <w:rsid w:val="005F7A61"/>
    <w:rsid w:val="006201BC"/>
    <w:rsid w:val="00637B4C"/>
    <w:rsid w:val="00641157"/>
    <w:rsid w:val="00654253"/>
    <w:rsid w:val="006543C6"/>
    <w:rsid w:val="00667CFF"/>
    <w:rsid w:val="00673053"/>
    <w:rsid w:val="00677948"/>
    <w:rsid w:val="006869E8"/>
    <w:rsid w:val="006E05D6"/>
    <w:rsid w:val="006E48C4"/>
    <w:rsid w:val="006F4C93"/>
    <w:rsid w:val="00711909"/>
    <w:rsid w:val="00722AC5"/>
    <w:rsid w:val="0072336D"/>
    <w:rsid w:val="00737F8D"/>
    <w:rsid w:val="00742229"/>
    <w:rsid w:val="007433DB"/>
    <w:rsid w:val="0078582F"/>
    <w:rsid w:val="00792B73"/>
    <w:rsid w:val="007B7C9A"/>
    <w:rsid w:val="007D6B66"/>
    <w:rsid w:val="007E1B4C"/>
    <w:rsid w:val="007F1176"/>
    <w:rsid w:val="007F1E36"/>
    <w:rsid w:val="007F316B"/>
    <w:rsid w:val="00802906"/>
    <w:rsid w:val="00807AA1"/>
    <w:rsid w:val="008144E2"/>
    <w:rsid w:val="008441A0"/>
    <w:rsid w:val="00845E2A"/>
    <w:rsid w:val="008652AB"/>
    <w:rsid w:val="00872062"/>
    <w:rsid w:val="00882D1C"/>
    <w:rsid w:val="00885B94"/>
    <w:rsid w:val="008917B3"/>
    <w:rsid w:val="00896C67"/>
    <w:rsid w:val="00897857"/>
    <w:rsid w:val="008B1D23"/>
    <w:rsid w:val="008B71D9"/>
    <w:rsid w:val="008D1B78"/>
    <w:rsid w:val="008D3F25"/>
    <w:rsid w:val="008D6111"/>
    <w:rsid w:val="008E467F"/>
    <w:rsid w:val="008E5AB7"/>
    <w:rsid w:val="008F660C"/>
    <w:rsid w:val="00912143"/>
    <w:rsid w:val="00933638"/>
    <w:rsid w:val="00934579"/>
    <w:rsid w:val="00935568"/>
    <w:rsid w:val="009545F4"/>
    <w:rsid w:val="009709AA"/>
    <w:rsid w:val="00980119"/>
    <w:rsid w:val="0098349B"/>
    <w:rsid w:val="00991C53"/>
    <w:rsid w:val="009966B4"/>
    <w:rsid w:val="009A19B7"/>
    <w:rsid w:val="009A6410"/>
    <w:rsid w:val="009A6FA1"/>
    <w:rsid w:val="009A774F"/>
    <w:rsid w:val="009B21E8"/>
    <w:rsid w:val="009C60AF"/>
    <w:rsid w:val="009D0932"/>
    <w:rsid w:val="009E5541"/>
    <w:rsid w:val="009F4E96"/>
    <w:rsid w:val="00A00E8E"/>
    <w:rsid w:val="00A155B6"/>
    <w:rsid w:val="00A15C6F"/>
    <w:rsid w:val="00A41730"/>
    <w:rsid w:val="00A42310"/>
    <w:rsid w:val="00A475BA"/>
    <w:rsid w:val="00A876B7"/>
    <w:rsid w:val="00AB406B"/>
    <w:rsid w:val="00AC54D8"/>
    <w:rsid w:val="00AD7D72"/>
    <w:rsid w:val="00B12165"/>
    <w:rsid w:val="00B15656"/>
    <w:rsid w:val="00B253EC"/>
    <w:rsid w:val="00B27B9C"/>
    <w:rsid w:val="00B320F5"/>
    <w:rsid w:val="00B36663"/>
    <w:rsid w:val="00B37080"/>
    <w:rsid w:val="00B45612"/>
    <w:rsid w:val="00B45C8C"/>
    <w:rsid w:val="00B45E4B"/>
    <w:rsid w:val="00B4622E"/>
    <w:rsid w:val="00B64F30"/>
    <w:rsid w:val="00B66841"/>
    <w:rsid w:val="00B71FB9"/>
    <w:rsid w:val="00B767E0"/>
    <w:rsid w:val="00B83A4D"/>
    <w:rsid w:val="00B86B19"/>
    <w:rsid w:val="00B944EA"/>
    <w:rsid w:val="00BB312B"/>
    <w:rsid w:val="00BB673D"/>
    <w:rsid w:val="00BC0996"/>
    <w:rsid w:val="00BC2F60"/>
    <w:rsid w:val="00BC5C53"/>
    <w:rsid w:val="00C02F42"/>
    <w:rsid w:val="00C35937"/>
    <w:rsid w:val="00C4322A"/>
    <w:rsid w:val="00C575C8"/>
    <w:rsid w:val="00C96C08"/>
    <w:rsid w:val="00CA2E34"/>
    <w:rsid w:val="00CA67F3"/>
    <w:rsid w:val="00CC626D"/>
    <w:rsid w:val="00CF3700"/>
    <w:rsid w:val="00D033AE"/>
    <w:rsid w:val="00D0616A"/>
    <w:rsid w:val="00D14E91"/>
    <w:rsid w:val="00D17A26"/>
    <w:rsid w:val="00D2458C"/>
    <w:rsid w:val="00D35D44"/>
    <w:rsid w:val="00D37896"/>
    <w:rsid w:val="00D572B1"/>
    <w:rsid w:val="00D63190"/>
    <w:rsid w:val="00D66FFE"/>
    <w:rsid w:val="00D84081"/>
    <w:rsid w:val="00D85903"/>
    <w:rsid w:val="00D9492C"/>
    <w:rsid w:val="00D96962"/>
    <w:rsid w:val="00DA5AA1"/>
    <w:rsid w:val="00DC009E"/>
    <w:rsid w:val="00DC160A"/>
    <w:rsid w:val="00DC2516"/>
    <w:rsid w:val="00DE73DC"/>
    <w:rsid w:val="00E06743"/>
    <w:rsid w:val="00E16ACB"/>
    <w:rsid w:val="00E427A4"/>
    <w:rsid w:val="00E50512"/>
    <w:rsid w:val="00E549F3"/>
    <w:rsid w:val="00E5672D"/>
    <w:rsid w:val="00EB56A8"/>
    <w:rsid w:val="00EC4750"/>
    <w:rsid w:val="00ED356F"/>
    <w:rsid w:val="00EE337E"/>
    <w:rsid w:val="00EE5131"/>
    <w:rsid w:val="00F03FE0"/>
    <w:rsid w:val="00F04404"/>
    <w:rsid w:val="00F1196E"/>
    <w:rsid w:val="00F26BB5"/>
    <w:rsid w:val="00F40173"/>
    <w:rsid w:val="00F44CA6"/>
    <w:rsid w:val="00F6397D"/>
    <w:rsid w:val="00F77F84"/>
    <w:rsid w:val="00F806A1"/>
    <w:rsid w:val="00F81794"/>
    <w:rsid w:val="00F820CA"/>
    <w:rsid w:val="00F87AD6"/>
    <w:rsid w:val="00F9526E"/>
    <w:rsid w:val="00FA0C61"/>
    <w:rsid w:val="00FA1267"/>
    <w:rsid w:val="00FA3CA3"/>
    <w:rsid w:val="00FB4A37"/>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8F660C"/>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character" w:styleId="Hyperlink">
    <w:name w:val="Hyperlink"/>
    <w:uiPriority w:val="99"/>
    <w:semiHidden/>
    <w:unhideWhenUsed/>
    <w:rsid w:val="00FB4A3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81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unitydata1\unityall\Jessica%20Stanton\Compliance%20CAP%20Templat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unitydata1\unityall\Jessica%20Stanton\Compliance%20Audit%20Summary%20Form.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E61165D01A814BF280825C27E8B595E6"/>
        <w:category>
          <w:name w:val="General"/>
          <w:gallery w:val="placeholder"/>
        </w:category>
        <w:types>
          <w:type w:val="bbPlcHdr"/>
        </w:types>
        <w:behaviors>
          <w:behavior w:val="content"/>
        </w:behaviors>
        <w:guid w:val="{8182D8F3-3AC2-4D86-A014-5646D4F36758}"/>
      </w:docPartPr>
      <w:docPartBody>
        <w:p w:rsidR="00E831DA" w:rsidRDefault="0042315D" w:rsidP="0042315D">
          <w:pPr>
            <w:pStyle w:val="E61165D01A814BF280825C27E8B595E6"/>
          </w:pPr>
          <w:r>
            <w:rPr>
              <w:rStyle w:val="PlaceholderText"/>
            </w:rPr>
            <w:t>Title of position responsible for updates. For example, the owner for all HIPAA P&amp;Ps would be - Assistant Vice President, Compliance &amp; Government Regulatory Operations</w:t>
          </w:r>
        </w:p>
      </w:docPartBody>
    </w:docPart>
    <w:docPart>
      <w:docPartPr>
        <w:name w:val="92920F64EFF94D9799E84102FA3891CE"/>
        <w:category>
          <w:name w:val="General"/>
          <w:gallery w:val="placeholder"/>
        </w:category>
        <w:types>
          <w:type w:val="bbPlcHdr"/>
        </w:types>
        <w:behaviors>
          <w:behavior w:val="content"/>
        </w:behaviors>
        <w:guid w:val="{54EE698B-7290-4671-9B75-0B92E105ED36}"/>
      </w:docPartPr>
      <w:docPartBody>
        <w:p w:rsidR="00E831DA" w:rsidRDefault="0042315D" w:rsidP="0042315D">
          <w:pPr>
            <w:pStyle w:val="92920F64EFF94D9799E84102FA3891CE"/>
          </w:pPr>
          <w:r>
            <w:rPr>
              <w:rStyle w:val="PlaceholderText"/>
            </w:rPr>
            <w:t>Should always be 12 months from last review</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
      <w:docPartPr>
        <w:name w:val="5C66EF072FFE440DB93CB65CFE86E8B6"/>
        <w:category>
          <w:name w:val="General"/>
          <w:gallery w:val="placeholder"/>
        </w:category>
        <w:types>
          <w:type w:val="bbPlcHdr"/>
        </w:types>
        <w:behaviors>
          <w:behavior w:val="content"/>
        </w:behaviors>
        <w:guid w:val="{C3D23F86-9E76-40A6-8987-14EB3DA57F28}"/>
      </w:docPartPr>
      <w:docPartBody>
        <w:p w:rsidR="000A5C42" w:rsidRDefault="00902B88" w:rsidP="00902B88">
          <w:pPr>
            <w:pStyle w:val="5C66EF072FFE440DB93CB65CFE86E8B6"/>
          </w:pPr>
          <w:r>
            <w:rPr>
              <w:rStyle w:val="PlaceholderText"/>
            </w:rPr>
            <w:t>Title of position responsible for updates. For example, the owner for all HIPAA P&amp;Ps would be - Assistant Vice President, Compliance &amp; Government Regulatory Operations</w:t>
          </w:r>
        </w:p>
      </w:docPartBody>
    </w:docPart>
    <w:docPart>
      <w:docPartPr>
        <w:name w:val="A01A9079B45D4154A708CE3342B11DFA"/>
        <w:category>
          <w:name w:val="General"/>
          <w:gallery w:val="placeholder"/>
        </w:category>
        <w:types>
          <w:type w:val="bbPlcHdr"/>
        </w:types>
        <w:behaviors>
          <w:behavior w:val="content"/>
        </w:behaviors>
        <w:guid w:val="{0A2F2CBC-C0D5-47E4-84FA-DA921580EE54}"/>
      </w:docPartPr>
      <w:docPartBody>
        <w:p w:rsidR="000A5C42" w:rsidRDefault="00902B88" w:rsidP="00902B88">
          <w:pPr>
            <w:pStyle w:val="A01A9079B45D4154A708CE3342B11DFA"/>
          </w:pPr>
          <w:r w:rsidRPr="00CA7EED">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304718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0A5C42"/>
    <w:rsid w:val="003A0A3C"/>
    <w:rsid w:val="0042315D"/>
    <w:rsid w:val="004E4408"/>
    <w:rsid w:val="004F7A66"/>
    <w:rsid w:val="005A0E42"/>
    <w:rsid w:val="005B65F7"/>
    <w:rsid w:val="006470F3"/>
    <w:rsid w:val="008D1649"/>
    <w:rsid w:val="00902B88"/>
    <w:rsid w:val="00967A80"/>
    <w:rsid w:val="00A0523C"/>
    <w:rsid w:val="00A83BF3"/>
    <w:rsid w:val="00CC15FD"/>
    <w:rsid w:val="00E8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C8B02441DE46C5BB558030B9FBB94D">
    <w:name w:val="EFC8B02441DE46C5BB558030B9FBB94D"/>
    <w:rsid w:val="0042315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902B88"/>
    <w:rPr>
      <w:color w:val="808080"/>
    </w:rPr>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EFC8B02441DE46C5BB558030B9FBB94D1">
    <w:name w:val="EFC8B02441DE46C5BB558030B9FBB94D1"/>
    <w:rsid w:val="0042315D"/>
    <w:rPr>
      <w:rFonts w:ascii="Segoe UI" w:eastAsiaTheme="minorHAnsi" w:hAnsi="Segoe UI"/>
      <w:sz w:val="20"/>
    </w:rPr>
  </w:style>
  <w:style w:type="paragraph" w:customStyle="1" w:styleId="7B4F2C7C22254A1F9C8C22CB874BE234">
    <w:name w:val="7B4F2C7C22254A1F9C8C22CB874BE234"/>
    <w:rsid w:val="0042315D"/>
    <w:rPr>
      <w:rFonts w:ascii="Segoe UI" w:eastAsiaTheme="minorHAnsi" w:hAnsi="Segoe UI"/>
      <w:sz w:val="20"/>
    </w:rPr>
  </w:style>
  <w:style w:type="paragraph" w:customStyle="1" w:styleId="8EBE1C4959E84BF99C7B3DD483931E7B">
    <w:name w:val="8EBE1C4959E84BF99C7B3DD483931E7B"/>
    <w:rsid w:val="0042315D"/>
    <w:rPr>
      <w:rFonts w:ascii="Segoe UI" w:eastAsiaTheme="minorHAnsi" w:hAnsi="Segoe UI"/>
      <w:sz w:val="20"/>
    </w:rPr>
  </w:style>
  <w:style w:type="paragraph" w:customStyle="1" w:styleId="D97BB49F01394FEF9714E56A8D01579D">
    <w:name w:val="D97BB49F01394FEF9714E56A8D01579D"/>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 w:type="paragraph" w:customStyle="1" w:styleId="BE4FAB184F7D45F58A49438710942ECF">
    <w:name w:val="BE4FAB184F7D45F58A49438710942ECF"/>
    <w:rsid w:val="00E831DA"/>
  </w:style>
  <w:style w:type="paragraph" w:customStyle="1" w:styleId="849CF12D8D0641EF9B2E5B45BBF2A7BE19">
    <w:name w:val="849CF12D8D0641EF9B2E5B45BBF2A7BE19"/>
    <w:rsid w:val="004F7A66"/>
    <w:rPr>
      <w:rFonts w:ascii="Segoe UI" w:eastAsiaTheme="minorHAnsi" w:hAnsi="Segoe UI"/>
      <w:sz w:val="20"/>
    </w:rPr>
  </w:style>
  <w:style w:type="paragraph" w:customStyle="1" w:styleId="D61CD1AA880E4DB09CE4C5D1F77116BF19">
    <w:name w:val="D61CD1AA880E4DB09CE4C5D1F77116BF19"/>
    <w:rsid w:val="004F7A66"/>
    <w:rPr>
      <w:rFonts w:ascii="Segoe UI" w:eastAsiaTheme="minorHAnsi" w:hAnsi="Segoe UI"/>
      <w:sz w:val="20"/>
    </w:rPr>
  </w:style>
  <w:style w:type="paragraph" w:customStyle="1" w:styleId="B34F3C551E30477F94330B44FB6FF89648">
    <w:name w:val="B34F3C551E30477F94330B44FB6FF89648"/>
    <w:rsid w:val="004F7A66"/>
    <w:rPr>
      <w:rFonts w:ascii="Segoe UI" w:eastAsiaTheme="minorHAnsi" w:hAnsi="Segoe UI"/>
      <w:sz w:val="20"/>
    </w:rPr>
  </w:style>
  <w:style w:type="paragraph" w:customStyle="1" w:styleId="69127A58F93B465AAEF3905F8BDFAA3B49">
    <w:name w:val="69127A58F93B465AAEF3905F8BDFAA3B49"/>
    <w:rsid w:val="004F7A66"/>
    <w:rPr>
      <w:rFonts w:ascii="Segoe UI" w:eastAsiaTheme="minorHAnsi" w:hAnsi="Segoe UI"/>
      <w:sz w:val="20"/>
    </w:rPr>
  </w:style>
  <w:style w:type="paragraph" w:customStyle="1" w:styleId="E61165D01A814BF280825C27E8B595E642">
    <w:name w:val="E61165D01A814BF280825C27E8B595E642"/>
    <w:rsid w:val="004F7A66"/>
    <w:rPr>
      <w:rFonts w:ascii="Segoe UI" w:eastAsiaTheme="minorHAnsi" w:hAnsi="Segoe UI"/>
      <w:sz w:val="20"/>
    </w:rPr>
  </w:style>
  <w:style w:type="paragraph" w:customStyle="1" w:styleId="92920F64EFF94D9799E84102FA3891CE42">
    <w:name w:val="92920F64EFF94D9799E84102FA3891CE42"/>
    <w:rsid w:val="004F7A66"/>
    <w:rPr>
      <w:rFonts w:ascii="Segoe UI" w:eastAsiaTheme="minorHAnsi" w:hAnsi="Segoe UI"/>
      <w:sz w:val="20"/>
    </w:rPr>
  </w:style>
  <w:style w:type="paragraph" w:customStyle="1" w:styleId="474FED3E396843CCAB150D97BB497F1424">
    <w:name w:val="474FED3E396843CCAB150D97BB497F1424"/>
    <w:rsid w:val="004F7A66"/>
    <w:rPr>
      <w:rFonts w:ascii="Segoe UI" w:eastAsiaTheme="minorHAnsi" w:hAnsi="Segoe UI"/>
      <w:sz w:val="20"/>
    </w:rPr>
  </w:style>
  <w:style w:type="paragraph" w:customStyle="1" w:styleId="CD61A73F3D9C46B5A9B6903D57AA07A723">
    <w:name w:val="CD61A73F3D9C46B5A9B6903D57AA07A723"/>
    <w:rsid w:val="004F7A66"/>
    <w:rPr>
      <w:rFonts w:ascii="Segoe UI" w:eastAsiaTheme="minorHAnsi" w:hAnsi="Segoe UI"/>
      <w:sz w:val="20"/>
    </w:rPr>
  </w:style>
  <w:style w:type="paragraph" w:customStyle="1" w:styleId="A07A5BC9E3EA4538974299BC697A7AAC24">
    <w:name w:val="A07A5BC9E3EA4538974299BC697A7AAC24"/>
    <w:rsid w:val="004F7A66"/>
    <w:rPr>
      <w:rFonts w:ascii="Segoe UI" w:eastAsiaTheme="minorHAnsi" w:hAnsi="Segoe UI"/>
      <w:sz w:val="20"/>
    </w:rPr>
  </w:style>
  <w:style w:type="paragraph" w:customStyle="1" w:styleId="242436EE6D354B22A236B895B259367E42">
    <w:name w:val="242436EE6D354B22A236B895B259367E42"/>
    <w:rsid w:val="004F7A66"/>
    <w:rPr>
      <w:rFonts w:ascii="Segoe UI" w:eastAsiaTheme="minorHAnsi" w:hAnsi="Segoe UI"/>
      <w:sz w:val="20"/>
    </w:rPr>
  </w:style>
  <w:style w:type="paragraph" w:customStyle="1" w:styleId="C599F7928DFC4DB0BD89B14569C81DF024">
    <w:name w:val="C599F7928DFC4DB0BD89B14569C81DF024"/>
    <w:rsid w:val="004F7A66"/>
    <w:rPr>
      <w:rFonts w:ascii="Segoe UI" w:eastAsiaTheme="minorHAnsi" w:hAnsi="Segoe UI"/>
      <w:sz w:val="20"/>
    </w:rPr>
  </w:style>
  <w:style w:type="paragraph" w:customStyle="1" w:styleId="7A5BFC3FCECF439090698CF7A0DE635942">
    <w:name w:val="7A5BFC3FCECF439090698CF7A0DE635942"/>
    <w:rsid w:val="004F7A66"/>
    <w:rPr>
      <w:rFonts w:ascii="Segoe UI" w:eastAsiaTheme="minorHAnsi" w:hAnsi="Segoe UI"/>
      <w:sz w:val="20"/>
    </w:rPr>
  </w:style>
  <w:style w:type="paragraph" w:customStyle="1" w:styleId="7B4F2C7C22254A1F9C8C22CB874BE23429">
    <w:name w:val="7B4F2C7C22254A1F9C8C22CB874BE23429"/>
    <w:rsid w:val="004F7A66"/>
    <w:rPr>
      <w:rFonts w:ascii="Segoe UI" w:eastAsiaTheme="minorHAnsi" w:hAnsi="Segoe UI"/>
      <w:sz w:val="20"/>
    </w:rPr>
  </w:style>
  <w:style w:type="paragraph" w:customStyle="1" w:styleId="8EBE1C4959E84BF99C7B3DD483931E7B29">
    <w:name w:val="8EBE1C4959E84BF99C7B3DD483931E7B29"/>
    <w:rsid w:val="004F7A66"/>
    <w:rPr>
      <w:rFonts w:ascii="Segoe UI" w:eastAsiaTheme="minorHAnsi" w:hAnsi="Segoe UI"/>
      <w:sz w:val="20"/>
    </w:rPr>
  </w:style>
  <w:style w:type="paragraph" w:customStyle="1" w:styleId="D97BB49F01394FEF9714E56A8D01579D29">
    <w:name w:val="D97BB49F01394FEF9714E56A8D01579D29"/>
    <w:rsid w:val="004F7A66"/>
    <w:rPr>
      <w:rFonts w:ascii="Segoe UI" w:eastAsiaTheme="minorHAnsi" w:hAnsi="Segoe UI"/>
      <w:sz w:val="20"/>
    </w:rPr>
  </w:style>
  <w:style w:type="paragraph" w:customStyle="1" w:styleId="04AA4702C63A4BD6A58C87B016D057BC14">
    <w:name w:val="04AA4702C63A4BD6A58C87B016D057BC14"/>
    <w:rsid w:val="004F7A66"/>
    <w:rPr>
      <w:rFonts w:ascii="Segoe UI" w:eastAsiaTheme="minorHAnsi" w:hAnsi="Segoe UI"/>
      <w:sz w:val="20"/>
    </w:rPr>
  </w:style>
  <w:style w:type="paragraph" w:customStyle="1" w:styleId="72D282E48F894A57890FB1BD86756CFF14">
    <w:name w:val="72D282E48F894A57890FB1BD86756CFF14"/>
    <w:rsid w:val="004F7A66"/>
    <w:rPr>
      <w:rFonts w:ascii="Segoe UI" w:eastAsiaTheme="minorHAnsi" w:hAnsi="Segoe UI"/>
      <w:sz w:val="20"/>
    </w:rPr>
  </w:style>
  <w:style w:type="paragraph" w:customStyle="1" w:styleId="5DD5B1B889944501BE4E68C64E7EE95B14">
    <w:name w:val="5DD5B1B889944501BE4E68C64E7EE95B14"/>
    <w:rsid w:val="004F7A66"/>
    <w:rPr>
      <w:rFonts w:ascii="Segoe UI" w:eastAsiaTheme="minorHAnsi" w:hAnsi="Segoe UI"/>
      <w:sz w:val="20"/>
    </w:rPr>
  </w:style>
  <w:style w:type="paragraph" w:customStyle="1" w:styleId="F21677A039B34161BF3ACB6089E2826129">
    <w:name w:val="F21677A039B34161BF3ACB6089E2826129"/>
    <w:rsid w:val="004F7A66"/>
    <w:rPr>
      <w:rFonts w:ascii="Segoe UI" w:eastAsiaTheme="minorHAnsi" w:hAnsi="Segoe UI"/>
      <w:sz w:val="20"/>
    </w:rPr>
  </w:style>
  <w:style w:type="paragraph" w:customStyle="1" w:styleId="1E62F0806B1140DCBC36E623C8B3CF3E29">
    <w:name w:val="1E62F0806B1140DCBC36E623C8B3CF3E29"/>
    <w:rsid w:val="004F7A66"/>
    <w:rPr>
      <w:rFonts w:ascii="Segoe UI" w:eastAsiaTheme="minorHAnsi" w:hAnsi="Segoe UI"/>
      <w:sz w:val="20"/>
    </w:rPr>
  </w:style>
  <w:style w:type="paragraph" w:customStyle="1" w:styleId="2C917A00AAFE4C80A1BF25047A24128729">
    <w:name w:val="2C917A00AAFE4C80A1BF25047A24128729"/>
    <w:rsid w:val="004F7A66"/>
    <w:rPr>
      <w:rFonts w:ascii="Segoe UI" w:eastAsiaTheme="minorHAnsi" w:hAnsi="Segoe UI"/>
      <w:sz w:val="20"/>
    </w:rPr>
  </w:style>
  <w:style w:type="paragraph" w:customStyle="1" w:styleId="5C66EF072FFE440DB93CB65CFE86E8B6">
    <w:name w:val="5C66EF072FFE440DB93CB65CFE86E8B6"/>
    <w:rsid w:val="00902B88"/>
  </w:style>
  <w:style w:type="paragraph" w:customStyle="1" w:styleId="A01A9079B45D4154A708CE3342B11DFA">
    <w:name w:val="A01A9079B45D4154A708CE3342B11DFA"/>
    <w:rsid w:val="00902B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2023-12-05T14:31:00Z</dcterms:created>
  <dcterms:modified xsi:type="dcterms:W3CDTF">2023-12-05T14:31:00Z</dcterms:modified>
</cp:coreProperties>
</file>